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河南省</w:t>
      </w:r>
      <w:r>
        <w:rPr>
          <w:rFonts w:asciiTheme="majorEastAsia" w:hAnsiTheme="majorEastAsia" w:eastAsiaTheme="majorEastAsia"/>
          <w:color w:val="000000" w:themeColor="text1"/>
          <w:sz w:val="44"/>
          <w:szCs w:val="44"/>
          <w14:textFill>
            <w14:solidFill>
              <w14:schemeClr w14:val="tx1"/>
            </w14:solidFill>
          </w14:textFill>
        </w:rPr>
        <w:t>卫生系列高级职称申报评审条件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（医疗类）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一、为了客观、公正、科学地评价卫生专业技术人员的能力与水平，建立完善考评结合的人才评价机制，促进全省卫生人才队伍整体素质的提高，推动卫生健康事业的发展，根据</w:t>
      </w:r>
      <w:r>
        <w:rPr>
          <w:rFonts w:hint="eastAsia" w:ascii="仿宋_GB2312" w:eastAsia="仿宋_GB2312" w:cs="仿宋_GB2312"/>
          <w:color w:val="000000" w:themeColor="text1"/>
          <w:kern w:val="0"/>
          <w:sz w:val="32"/>
          <w:szCs w:val="32"/>
          <w14:textFill>
            <w14:solidFill>
              <w14:schemeClr w14:val="tx1"/>
            </w14:solidFill>
          </w14:textFill>
        </w:rPr>
        <w:t>人力资源社会保障部、国家卫生健康委、国家中医药局《关于深</w:t>
      </w:r>
      <w:r>
        <w:rPr>
          <w:rFonts w:hint="eastAsia" w:ascii="仿宋" w:hAnsi="仿宋" w:eastAsia="仿宋" w:cs="仿宋_GB2312"/>
          <w:color w:val="000000" w:themeColor="text1"/>
          <w:kern w:val="0"/>
          <w:sz w:val="32"/>
          <w:szCs w:val="32"/>
          <w14:textFill>
            <w14:solidFill>
              <w14:schemeClr w14:val="tx1"/>
            </w14:solidFill>
          </w14:textFill>
        </w:rPr>
        <w:t>化卫生专业技术人员职称制度改革的指导意见》（人社部发〔</w:t>
      </w:r>
      <w:r>
        <w:rPr>
          <w:rFonts w:ascii="仿宋" w:hAnsi="仿宋" w:eastAsia="仿宋" w:cs="TimesNewRomanPSMT"/>
          <w:color w:val="000000" w:themeColor="text1"/>
          <w:kern w:val="0"/>
          <w:sz w:val="32"/>
          <w:szCs w:val="32"/>
          <w14:textFill>
            <w14:solidFill>
              <w14:schemeClr w14:val="tx1"/>
            </w14:solidFill>
          </w14:textFill>
        </w:rPr>
        <w:t>2021</w:t>
      </w:r>
      <w:r>
        <w:rPr>
          <w:rFonts w:hint="eastAsia" w:ascii="仿宋" w:hAnsi="仿宋" w:eastAsia="仿宋" w:cs="仿宋_GB2312"/>
          <w:color w:val="000000" w:themeColor="text1"/>
          <w:kern w:val="0"/>
          <w:sz w:val="32"/>
          <w:szCs w:val="32"/>
          <w14:textFill>
            <w14:solidFill>
              <w14:schemeClr w14:val="tx1"/>
            </w14:solidFill>
          </w14:textFill>
        </w:rPr>
        <w:t>〕</w:t>
      </w:r>
      <w:r>
        <w:rPr>
          <w:rFonts w:ascii="仿宋" w:hAnsi="仿宋" w:eastAsia="仿宋" w:cs="TimesNewRomanPSMT"/>
          <w:color w:val="000000" w:themeColor="text1"/>
          <w:kern w:val="0"/>
          <w:sz w:val="32"/>
          <w:szCs w:val="32"/>
          <w14:textFill>
            <w14:solidFill>
              <w14:schemeClr w14:val="tx1"/>
            </w14:solidFill>
          </w14:textFill>
        </w:rPr>
        <w:t xml:space="preserve">51 </w:t>
      </w:r>
      <w:r>
        <w:rPr>
          <w:rFonts w:hint="eastAsia" w:ascii="仿宋" w:hAnsi="仿宋" w:eastAsia="仿宋" w:cs="仿宋_GB2312"/>
          <w:color w:val="000000" w:themeColor="text1"/>
          <w:kern w:val="0"/>
          <w:sz w:val="32"/>
          <w:szCs w:val="32"/>
          <w14:textFill>
            <w14:solidFill>
              <w14:schemeClr w14:val="tx1"/>
            </w14:solidFill>
          </w14:textFill>
        </w:rPr>
        <w:t>号）和</w:t>
      </w:r>
      <w:r>
        <w:rPr>
          <w:rFonts w:hint="eastAsia" w:ascii="仿宋" w:hAnsi="仿宋" w:eastAsia="仿宋"/>
          <w:color w:val="000000" w:themeColor="text1"/>
          <w:sz w:val="32"/>
          <w:szCs w:val="32"/>
          <w14:textFill>
            <w14:solidFill>
              <w14:schemeClr w14:val="tx1"/>
            </w14:solidFill>
          </w14:textFill>
        </w:rPr>
        <w:t>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二、卫生系列医疗类副高级职称的名称为副主任医师，正高级职称的名称为主任医师。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三、卫生系列医疗类高级职称采取考试与评审相结合的方式。业务水平考试合格者方可报送评审材料，考试成绩三年有效。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为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五、本条件适用于全省各级各类医疗卫生机构中从事医疗类专业的卫生专业技术人员。适用专业包括：</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临床类：普通内科、心血管内科、消化内科、神经内科、精神病、血液病、内分泌、肾内科、呼吸内科、职业病、传染病、结核病、肿瘤内科、急诊内科、皮肤与性病、康复医学、小儿内科、全科医学、重症医学、风湿病、普通外科、骨外科、泌尿外科、神经外科、胸心外科、小儿外科、肿瘤外科、烧伤外科、整形科、急诊外科、麻醉学、妇产科、妇女保健、儿童保健、眼科、耳鼻喉科、疼痛学、放射医学、超声医学、病理学、核医学、临床医学检验学、介入治疗、心电图诊断、脑电图诊断、肿瘤放射治疗学、输血</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医类：中医内科、中医外科、中医肛肠、中医皮肤、中医妇科、中医儿科、针灸、推拿、中医骨伤、中医耳鼻喉、中医眼科、中西医结合内科、中西医结合外科、中西医结合妇科、中西医结合儿科、全科医学（中医类）</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口腔类：口腔医学、口腔内科、口腔外科、口腔修复、口腔正畸</w:t>
      </w:r>
    </w:p>
    <w:p>
      <w:pPr>
        <w:pStyle w:val="5"/>
        <w:shd w:val="clear" w:color="auto" w:fill="FFFFFF"/>
        <w:spacing w:before="0" w:beforeAutospacing="0" w:after="0" w:afterAutospacing="0"/>
        <w:ind w:firstLine="640" w:firstLineChars="200"/>
        <w:rPr>
          <w:rFonts w:ascii="仿宋" w:hAnsi="仿宋" w:eastAsia="仿宋"/>
          <w:color w:val="auto"/>
          <w:sz w:val="32"/>
          <w:szCs w:val="32"/>
        </w:rPr>
      </w:pPr>
      <w:r>
        <w:rPr>
          <w:rFonts w:hint="eastAsia" w:ascii="仿宋" w:hAnsi="仿宋" w:eastAsia="仿宋"/>
          <w:color w:val="000000" w:themeColor="text1"/>
          <w:sz w:val="32"/>
          <w:szCs w:val="32"/>
          <w14:textFill>
            <w14:solidFill>
              <w14:schemeClr w14:val="tx1"/>
            </w14:solidFill>
          </w14:textFill>
        </w:rPr>
        <w:t>公共卫生类：流行病、寄生虫病、环境卫生、学校卫生、劳动卫生、放射卫生、地方病控制、健康教育、</w:t>
      </w:r>
      <w:r>
        <w:rPr>
          <w:rFonts w:hint="eastAsia" w:ascii="仿宋" w:hAnsi="仿宋" w:eastAsia="仿宋"/>
          <w:color w:val="auto"/>
          <w:sz w:val="32"/>
          <w:szCs w:val="32"/>
        </w:rPr>
        <w:t>营养与食品卫生</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（四）取得相应类别的医师资格，并按有关规定注册，取得相应的执业证书。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申报临床、中医（含中西医结合）、口腔类别副主任医师的，聘任主治医师以来应按有关规定完成对口支援工作任务。城市三级医院医师申报副主任医师前，须到县医院累计服务不少于1年；城市二级医院和县级医院医师申报副主任医师前须到乡镇卫生院累计服务不少于1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（六）聘任现职称以来到省内外</w:t>
      </w:r>
      <w:r>
        <w:rPr>
          <w:rFonts w:hint="eastAsia" w:ascii="仿宋" w:hAnsi="仿宋" w:eastAsia="仿宋"/>
          <w:color w:val="auto"/>
          <w:sz w:val="32"/>
          <w:szCs w:val="32"/>
        </w:rPr>
        <w:t>上级医疗卫生机构或省外同级医疗卫生机构脱产进修。其中</w:t>
      </w:r>
      <w:r>
        <w:rPr>
          <w:rFonts w:hint="eastAsia" w:ascii="仿宋" w:hAnsi="仿宋" w:eastAsia="仿宋"/>
          <w:color w:val="000000" w:themeColor="text1"/>
          <w:sz w:val="32"/>
          <w:szCs w:val="32"/>
          <w14:textFill>
            <w14:solidFill>
              <w14:schemeClr w14:val="tx1"/>
            </w14:solidFill>
          </w14:textFill>
        </w:rPr>
        <w:t>申报主任医师须累计满3个月，申报副主任医师须累计满6个月。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1.申报副主任医师职称，需具备相应专业大学本科及以上学历或学士及以上学位，受聘担任主治（主管）医师职务满5年。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2.申报主任医师职称，需具备相应专业大学本科及以上学历或学士及以上学位，受聘担任副主任医师职务满5年。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完成健康科普工作要求。面向社会或媒体，开展健康知识讲座，平均每年不少于2次；或者在各级主流媒体、省级以上行业报刊，发表健康科普文章、音视频作品，每年不少于1篇（条）；或者在各级卫生健康部门和县级以上医疗机构等新媒体平台，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（九）任现职以来完成规定的工作量要求（详见附表1）。</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1.临床、口腔、中医类别副主任医师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用于医疗实践，熟悉本专业相关的法律、法规、标准与技术规范。具有较丰富的本专业工作经验，能熟练正确地救治危重病人，具有指导本专业下级医师的能力，有带教2名医师的经历。将病案作为评价载体，采取随机抽取与个人提供相结合的方式，提供10份申报人主治或者主持的、能够反映其专业技术水平的病案，加强对临床医生执业能力的评价。</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2.临床、口腔、中医类别主任医师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医师水平的基础上，系统掌握本专业某一领域的基础理论知识与技术，并有所专长。深入了解本专业国内外现状及发展趋势，不断吸取新理论、新知识、新技术并用于医疗实践。具有丰富的本专业工作经验，能独立解决复杂或重大技术问题，具有指导本专业下级医师的能力，有培养2名主治医师的经历。将病案作为评价载体，采取随机抽取与个人提供相结合的方式，提供10份申报人主治或者主持的、能够反映其专业技术水平的病案，加强对临床医生执业能力的评价。</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3.公共卫生类别副主任医师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与本专业相关的法律、法规、标准与技术规范。具有较丰富的本专业工作经验，能独立解决复杂或重大技术问题，具有指导本专业下级医师的能力，有带教2名医师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4.公共卫生类别主任医师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医师水平的基础上，系统掌握本专业某一领域的基础理论知识与技术，并有所专长。深入了解本专业国内外现状及发展趋势，不断吸取新理论、新知识、新技术并用于实践。具有丰富的本专业工作经验，能独立解决复杂或重大技术问题，具有指导本专业下级医师的能力，有培养2名主管医师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工作业绩实行成果代表作制度。申报人员应提交任现职以来代表个人专业技术能力和水平的标志性工作业绩2项以上（第1项为必备）。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（1）代表本人最高水平的临床病案、手术/操作视频、</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应急处置情况报告、流行病学调查报告、重大公共卫生事件总结等。须附相关原始资料。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篇（不少于2500字）；在省属医疗卫生机构工作的人员，</w:t>
      </w:r>
      <w:r>
        <w:rPr>
          <w:rFonts w:hint="eastAsia" w:ascii="仿宋" w:hAnsi="仿宋" w:eastAsia="仿宋"/>
          <w:color w:val="000000" w:themeColor="text1"/>
          <w:sz w:val="32"/>
          <w:szCs w:val="32"/>
          <w:lang w:eastAsia="zh-CN"/>
          <w14:textFill>
            <w14:solidFill>
              <w14:schemeClr w14:val="tx1"/>
            </w14:solidFill>
          </w14:textFill>
        </w:rPr>
        <w:t>至少有一篇</w:t>
      </w:r>
      <w:r>
        <w:rPr>
          <w:rFonts w:hint="eastAsia" w:ascii="仿宋" w:hAnsi="仿宋" w:eastAsia="仿宋"/>
          <w:color w:val="000000" w:themeColor="text1"/>
          <w:sz w:val="32"/>
          <w:szCs w:val="32"/>
          <w14:textFill>
            <w14:solidFill>
              <w14:schemeClr w14:val="tx1"/>
            </w14:solidFill>
          </w14:textFill>
        </w:rPr>
        <w:t>发表在二类以上学术期刊上。须附相关原始资料。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（4）获本专业省辖市（厅）级二等以上科技进步奖、科技成果奖（限前5名）；或获本专业省辖市（厅）级三等以上科技进步奖、科技成果奖（限前3名）。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w:t>
      </w:r>
      <w:r>
        <w:rPr>
          <w:rFonts w:hint="eastAsia" w:ascii="仿宋" w:hAnsi="仿宋" w:eastAsia="仿宋"/>
          <w:color w:val="auto"/>
          <w:sz w:val="32"/>
          <w:szCs w:val="32"/>
        </w:rPr>
        <w:t>临床指南或专家共识1项</w:t>
      </w:r>
      <w:r>
        <w:rPr>
          <w:rFonts w:hint="eastAsia" w:ascii="仿宋" w:hAnsi="仿宋" w:eastAsia="仿宋"/>
          <w:color w:val="000000" w:themeColor="text1"/>
          <w:sz w:val="32"/>
          <w:szCs w:val="32"/>
          <w14:textFill>
            <w14:solidFill>
              <w14:schemeClr w14:val="tx1"/>
            </w14:solidFill>
          </w14:textFill>
        </w:rPr>
        <w:t>（限前5名）。</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w:t>
      </w:r>
      <w:r>
        <w:rPr>
          <w:rFonts w:hint="eastAsia" w:ascii="仿宋" w:hAnsi="仿宋" w:eastAsia="仿宋"/>
          <w:color w:val="auto"/>
          <w:sz w:val="32"/>
          <w:szCs w:val="32"/>
        </w:rPr>
        <w:t>推广</w:t>
      </w:r>
      <w:r>
        <w:rPr>
          <w:rFonts w:hint="eastAsia" w:ascii="仿宋" w:hAnsi="仿宋" w:eastAsia="仿宋"/>
          <w:color w:val="000000" w:themeColor="text1"/>
          <w:sz w:val="32"/>
          <w:szCs w:val="32"/>
          <w14:textFill>
            <w14:solidFill>
              <w14:schemeClr w14:val="tx1"/>
            </w14:solidFill>
          </w14:textFill>
        </w:rPr>
        <w:t>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（1）代表本人最高水平的临床病案、手术/操作视频、</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应急处置情况报告、流行病学调查报告、重大公共卫生事件总结等。须附相关原始资料。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（2）主持完成市（厅）级以上科研课题1项，课题经费不少于2万元（限第1名）。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（3）结合本专业临床实践，在二类以上推荐学术期刊上发表的本专业论文2篇（每篇不少于2500字）。须附相关原始资料。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（4）获本专业省辖市（厅）级二等以上科技进步奖、科技成果奖（限前3名）；或获本专业省辖市（厅）级三等以上科技进步奖、科技成果奖（限前1名）。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（5）参与研究并形成的省级及以上技术规范、卫生标准、临床指南或专家共识1项（限前3名）。</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（6）吸取新理论、新知识、新技术形成的与本专业相关的发明专利2项（限第1原始发明人）,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一）病案。设病床的临床科室医师，须提供任现职以来5份有代表性的抢救、死亡或疑难病案；同时须另行提交任现职近5年主治或主持的能反映本人专业技术水平的病案号50份，每年份数不少于10%，从中随机抽取5份病案，每年至少1份。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专题报告。不设病床的临床科室、非临床科室以及其它公共卫生单位的医师，需每年向单位提交本人在实际工作中解决本专业复杂疑难问题或运用新知识、新技术、新成果开展业务工作的专题报告5份（每份2000字以上），并附原始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临床类别医师取得中医</w:t>
      </w:r>
      <w:r>
        <w:rPr>
          <w:rFonts w:hint="eastAsia" w:ascii="仿宋" w:hAnsi="仿宋" w:eastAsia="仿宋"/>
          <w:color w:val="000000" w:themeColor="text1"/>
          <w:sz w:val="32"/>
          <w:szCs w:val="32"/>
          <w14:textFill>
            <w14:solidFill>
              <w14:schemeClr w14:val="tx1"/>
            </w14:solidFill>
          </w14:textFill>
        </w:rPr>
        <w:t>（含中西医结合）学历的，或中医（含中西医结合）类别医师取得临床医学学历的，只限申报中西医结合专业职称。</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八、本条件从 年 月 日起施行。</w:t>
      </w:r>
    </w:p>
    <w:p>
      <w:pPr>
        <w:widowControl/>
        <w:jc w:val="left"/>
        <w:rPr>
          <w:rFonts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仿宋" w:hAnsi="仿宋" w:eastAsia="仿宋"/>
          <w:color w:val="000000" w:themeColor="text1"/>
          <w:sz w:val="32"/>
          <w:szCs w:val="32"/>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1</w:t>
      </w:r>
    </w:p>
    <w:p>
      <w:pPr>
        <w:jc w:val="center"/>
        <w:rPr>
          <w:rFonts w:ascii="LinTimes" w:hAnsi="LinTimes" w:cs="LinTimes"/>
          <w:b/>
          <w:color w:val="000000" w:themeColor="text1"/>
          <w:kern w:val="0"/>
          <w:sz w:val="44"/>
          <w:szCs w:val="44"/>
          <w:lang w:bidi="ar"/>
          <w14:textFill>
            <w14:solidFill>
              <w14:schemeClr w14:val="tx1"/>
            </w14:solidFill>
          </w14:textFill>
        </w:rPr>
      </w:pPr>
      <w:r>
        <w:rPr>
          <w:rFonts w:ascii="LinTimes" w:hAnsi="LinTimes" w:cs="LinTimes"/>
          <w:b/>
          <w:color w:val="000000" w:themeColor="text1"/>
          <w:kern w:val="0"/>
          <w:sz w:val="44"/>
          <w:szCs w:val="44"/>
          <w:lang w:bidi="ar"/>
          <w14:textFill>
            <w14:solidFill>
              <w14:schemeClr w14:val="tx1"/>
            </w14:solidFill>
          </w14:textFill>
        </w:rPr>
        <w:t>医疗类专业晋升高级职称工作量要求</w:t>
      </w:r>
    </w:p>
    <w:tbl>
      <w:tblPr>
        <w:tblStyle w:val="7"/>
        <w:tblW w:w="14499" w:type="dxa"/>
        <w:tblInd w:w="0" w:type="dxa"/>
        <w:tblLayout w:type="fixed"/>
        <w:tblCellMar>
          <w:top w:w="15" w:type="dxa"/>
          <w:left w:w="15" w:type="dxa"/>
          <w:bottom w:w="15" w:type="dxa"/>
          <w:right w:w="15" w:type="dxa"/>
        </w:tblCellMar>
      </w:tblPr>
      <w:tblGrid>
        <w:gridCol w:w="750"/>
        <w:gridCol w:w="1038"/>
        <w:gridCol w:w="2626"/>
        <w:gridCol w:w="975"/>
        <w:gridCol w:w="1920"/>
        <w:gridCol w:w="1726"/>
        <w:gridCol w:w="5464"/>
      </w:tblGrid>
      <w:tr>
        <w:tblPrEx>
          <w:tblLayout w:type="fixed"/>
          <w:tblCellMar>
            <w:top w:w="15" w:type="dxa"/>
            <w:left w:w="15" w:type="dxa"/>
            <w:bottom w:w="15" w:type="dxa"/>
            <w:right w:w="15" w:type="dxa"/>
          </w:tblCellMar>
        </w:tblPrEx>
        <w:trPr>
          <w:trHeight w:val="850" w:hRule="exact"/>
        </w:trPr>
        <w:tc>
          <w:tcPr>
            <w:tcW w:w="750" w:type="dxa"/>
            <w:tcBorders>
              <w:top w:val="single" w:color="000000" w:sz="4" w:space="0"/>
              <w:left w:val="single" w:color="000000" w:sz="4" w:space="0"/>
              <w:bottom w:val="single" w:color="000000" w:sz="4" w:space="0"/>
              <w:right w:val="single" w:color="000000" w:sz="4" w:space="0"/>
            </w:tcBorders>
            <w:vAlign w:val="center"/>
          </w:tcPr>
          <w:p>
            <w:pPr>
              <w:rPr>
                <w:rFonts w:ascii="LinTimes" w:hAnsi="LinTimes" w:eastAsia="黑体" w:cs="LinTimes"/>
                <w:color w:val="000000" w:themeColor="text1"/>
                <w:sz w:val="24"/>
                <w:szCs w:val="24"/>
                <w14:textFill>
                  <w14:solidFill>
                    <w14:schemeClr w14:val="tx1"/>
                  </w14:solidFill>
                </w14:textFill>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1400" w:hRule="atLeast"/>
        </w:trPr>
        <w:tc>
          <w:tcPr>
            <w:tcW w:w="7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非手术为主临床专业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54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普通内科、心血管内科、消化内科、神经内科、精神病、血液病、内分泌、肾内科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呼吸内科、职业病</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传染病、结核病</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肿瘤内科、小儿内科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风湿</w:t>
            </w:r>
            <w:r>
              <w:rPr>
                <w:rFonts w:hint="eastAsia" w:ascii="仿宋" w:hAnsi="仿宋" w:eastAsia="仿宋" w:cs="LinTimes"/>
                <w:color w:val="000000" w:themeColor="text1"/>
                <w:kern w:val="0"/>
                <w:sz w:val="24"/>
                <w:szCs w:val="24"/>
                <w:lang w:bidi="ar"/>
                <w14:textFill>
                  <w14:solidFill>
                    <w14:schemeClr w14:val="tx1"/>
                  </w14:solidFill>
                </w14:textFill>
              </w:rPr>
              <w:t>病、</w:t>
            </w:r>
            <w:r>
              <w:rPr>
                <w:rFonts w:ascii="仿宋" w:hAnsi="仿宋" w:eastAsia="仿宋" w:cs="LinTimes"/>
                <w:color w:val="000000" w:themeColor="text1"/>
                <w:kern w:val="0"/>
                <w:sz w:val="24"/>
                <w:szCs w:val="24"/>
                <w:lang w:bidi="ar"/>
                <w14:textFill>
                  <w14:solidFill>
                    <w14:schemeClr w14:val="tx1"/>
                  </w14:solidFill>
                </w14:textFill>
              </w:rPr>
              <w:t>皮肤与性病、康复医学、疼痛学、全科医学。</w:t>
            </w:r>
          </w:p>
        </w:tc>
      </w:tr>
      <w:tr>
        <w:tblPrEx>
          <w:tblLayout w:type="fixed"/>
          <w:tblCellMar>
            <w:top w:w="15" w:type="dxa"/>
            <w:left w:w="15" w:type="dxa"/>
            <w:bottom w:w="15" w:type="dxa"/>
            <w:right w:w="15" w:type="dxa"/>
          </w:tblCellMar>
        </w:tblPrEx>
        <w:trPr>
          <w:trHeight w:val="1387"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1512"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（无病房）</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皮肤与性病学、精神病学、康复医学、疼痛学、全科医学</w:t>
            </w:r>
            <w:r>
              <w:rPr>
                <w:rFonts w:hint="eastAsia" w:ascii="仿宋" w:hAnsi="仿宋" w:eastAsia="仿宋" w:cs="LinTimes"/>
                <w:color w:val="000000" w:themeColor="text1"/>
                <w:kern w:val="0"/>
                <w:sz w:val="24"/>
                <w:szCs w:val="24"/>
                <w:lang w:bidi="ar"/>
                <w14:textFill>
                  <w14:solidFill>
                    <w14:schemeClr w14:val="tx1"/>
                  </w14:solidFill>
                </w14:textFill>
              </w:rPr>
              <w:t>、妇产科（限生殖医学、遗传医学）、</w:t>
            </w:r>
            <w:r>
              <w:rPr>
                <w:rFonts w:ascii="仿宋" w:hAnsi="仿宋" w:eastAsia="仿宋" w:cs="LinTimes"/>
                <w:color w:val="000000" w:themeColor="text1"/>
                <w:kern w:val="0"/>
                <w:sz w:val="24"/>
                <w:szCs w:val="24"/>
                <w:lang w:bidi="ar"/>
                <w14:textFill>
                  <w14:solidFill>
                    <w14:schemeClr w14:val="tx1"/>
                  </w14:solidFill>
                </w14:textFill>
              </w:rPr>
              <w:t>妇女保健</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儿童保健等</w:t>
            </w:r>
          </w:p>
        </w:tc>
      </w:tr>
      <w:tr>
        <w:tblPrEx>
          <w:tblLayout w:type="fixed"/>
          <w:tblCellMar>
            <w:top w:w="15" w:type="dxa"/>
            <w:left w:w="15" w:type="dxa"/>
            <w:bottom w:w="15" w:type="dxa"/>
            <w:right w:w="15" w:type="dxa"/>
          </w:tblCellMar>
        </w:tblPrEx>
        <w:trPr>
          <w:trHeight w:val="1079" w:hRule="atLeast"/>
        </w:trPr>
        <w:tc>
          <w:tcPr>
            <w:tcW w:w="750"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手术/操作人次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内镜 5000；</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支气管镜200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内镜 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消化内科学、呼吸内科学</w:t>
            </w:r>
          </w:p>
        </w:tc>
      </w:tr>
      <w:tr>
        <w:tblPrEx>
          <w:tblLayout w:type="fixed"/>
          <w:tblCellMar>
            <w:top w:w="15" w:type="dxa"/>
            <w:left w:w="15" w:type="dxa"/>
            <w:bottom w:w="15" w:type="dxa"/>
            <w:right w:w="15" w:type="dxa"/>
          </w:tblCellMar>
        </w:tblPrEx>
        <w:trPr>
          <w:trHeight w:val="1079" w:hRule="atLeast"/>
        </w:trPr>
        <w:tc>
          <w:tcPr>
            <w:tcW w:w="750" w:type="dxa"/>
            <w:tcBorders>
              <w:top w:val="single" w:color="auto" w:sz="4" w:space="0"/>
              <w:left w:val="single" w:color="000000" w:sz="4" w:space="0"/>
              <w:bottom w:val="single" w:color="auto" w:sz="4" w:space="0"/>
              <w:right w:val="single" w:color="000000" w:sz="4" w:space="0"/>
            </w:tcBorders>
            <w:vAlign w:val="center"/>
          </w:tcPr>
          <w:p>
            <w:pPr>
              <w:rPr>
                <w:rFonts w:ascii="LinTimes" w:hAnsi="LinTimes" w:eastAsia="黑体"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990" w:hRule="atLeast"/>
        </w:trPr>
        <w:tc>
          <w:tcPr>
            <w:tcW w:w="750" w:type="dxa"/>
            <w:vMerge w:val="restart"/>
            <w:tcBorders>
              <w:top w:val="single" w:color="auto" w:sz="4" w:space="0"/>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手术为主临床专业</w:t>
            </w: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kern w:val="0"/>
                <w:sz w:val="24"/>
                <w:szCs w:val="24"/>
                <w:lang w:bidi="ar"/>
                <w14:textFill>
                  <w14:solidFill>
                    <w14:schemeClr w14:val="tx1"/>
                  </w14:solidFill>
                </w14:textFill>
              </w:rPr>
              <w:t>（有病房）</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个</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普通外科、骨外科、泌尿外科、小儿外科、肿瘤外科、妇产科、眼科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耳鼻喉科</w:t>
            </w:r>
          </w:p>
        </w:tc>
      </w:tr>
      <w:tr>
        <w:tblPrEx>
          <w:tblLayout w:type="fixed"/>
          <w:tblCellMar>
            <w:top w:w="15" w:type="dxa"/>
            <w:left w:w="15" w:type="dxa"/>
            <w:bottom w:w="15" w:type="dxa"/>
            <w:right w:w="15" w:type="dxa"/>
          </w:tblCellMar>
        </w:tblPrEx>
        <w:trPr>
          <w:trHeight w:val="805" w:hRule="atLeast"/>
        </w:trPr>
        <w:tc>
          <w:tcPr>
            <w:tcW w:w="750" w:type="dxa"/>
            <w:vMerge w:val="continue"/>
            <w:tcBorders>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神经外科、胸心外科、烧伤外科、整形外科</w:t>
            </w:r>
          </w:p>
        </w:tc>
      </w:tr>
      <w:tr>
        <w:tblPrEx>
          <w:tblLayout w:type="fixed"/>
          <w:tblCellMar>
            <w:top w:w="15" w:type="dxa"/>
            <w:left w:w="15" w:type="dxa"/>
            <w:bottom w:w="15" w:type="dxa"/>
            <w:right w:w="15" w:type="dxa"/>
          </w:tblCellMar>
        </w:tblPrEx>
        <w:trPr>
          <w:trHeight w:val="676" w:hRule="atLeast"/>
        </w:trPr>
        <w:tc>
          <w:tcPr>
            <w:tcW w:w="750"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胸心外科（心外）、神经外科、烧伤外科</w:t>
            </w:r>
          </w:p>
        </w:tc>
      </w:tr>
      <w:tr>
        <w:tblPrEx>
          <w:tblLayout w:type="fixed"/>
          <w:tblCellMar>
            <w:top w:w="15" w:type="dxa"/>
            <w:left w:w="15" w:type="dxa"/>
            <w:bottom w:w="15" w:type="dxa"/>
            <w:right w:w="15" w:type="dxa"/>
          </w:tblCellMar>
        </w:tblPrEx>
        <w:trPr>
          <w:trHeight w:val="765"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普通外科、骨外科、妇产科、眼科</w:t>
            </w:r>
          </w:p>
        </w:tc>
      </w:tr>
      <w:tr>
        <w:tblPrEx>
          <w:tblLayout w:type="fixed"/>
          <w:tblCellMar>
            <w:top w:w="15" w:type="dxa"/>
            <w:left w:w="15" w:type="dxa"/>
            <w:bottom w:w="15" w:type="dxa"/>
            <w:right w:w="15" w:type="dxa"/>
          </w:tblCellMar>
        </w:tblPrEx>
        <w:trPr>
          <w:trHeight w:val="856"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胸心外科（胸外）、泌尿外科、耳鼻喉科、肿瘤外科、小儿外科</w:t>
            </w:r>
          </w:p>
        </w:tc>
      </w:tr>
      <w:tr>
        <w:tblPrEx>
          <w:tblLayout w:type="fixed"/>
          <w:tblCellMar>
            <w:top w:w="15" w:type="dxa"/>
            <w:left w:w="15" w:type="dxa"/>
            <w:bottom w:w="15" w:type="dxa"/>
            <w:right w:w="15" w:type="dxa"/>
          </w:tblCellMar>
        </w:tblPrEx>
        <w:trPr>
          <w:trHeight w:val="807" w:hRule="atLeast"/>
        </w:trPr>
        <w:tc>
          <w:tcPr>
            <w:tcW w:w="750"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出院患者手术/操作人次</w:t>
            </w:r>
            <w:r>
              <w:rPr>
                <w:rFonts w:hint="eastAsia" w:ascii="仿宋" w:hAnsi="仿宋" w:eastAsia="仿宋" w:cs="LinTimes"/>
                <w:color w:val="000000" w:themeColor="text1"/>
                <w:kern w:val="0"/>
                <w:sz w:val="24"/>
                <w:szCs w:val="24"/>
                <w:lang w:bidi="ar"/>
                <w14:textFill>
                  <w14:solidFill>
                    <w14:schemeClr w14:val="tx1"/>
                  </w14:solidFill>
                </w14:textFill>
              </w:rPr>
              <w:t>（申报副高的，三四级手术不少于</w:t>
            </w:r>
            <w:r>
              <w:rPr>
                <w:rFonts w:hint="eastAsia" w:ascii="仿宋" w:hAnsi="仿宋" w:eastAsia="仿宋" w:cs="LinTimes"/>
                <w:color w:val="000000" w:themeColor="text1"/>
                <w:kern w:val="0"/>
                <w:sz w:val="24"/>
                <w:szCs w:val="24"/>
                <w:lang w:val="en-US" w:eastAsia="zh-CN" w:bidi="ar"/>
                <w14:textFill>
                  <w14:solidFill>
                    <w14:schemeClr w14:val="tx1"/>
                  </w14:solidFill>
                </w14:textFill>
              </w:rPr>
              <w:t>5</w:t>
            </w:r>
            <w:r>
              <w:rPr>
                <w:rFonts w:hint="eastAsia" w:ascii="仿宋" w:hAnsi="仿宋" w:eastAsia="仿宋" w:cs="LinTimes"/>
                <w:color w:val="000000" w:themeColor="text1"/>
                <w:kern w:val="0"/>
                <w:sz w:val="24"/>
                <w:szCs w:val="24"/>
                <w:lang w:bidi="ar"/>
                <w14:textFill>
                  <w14:solidFill>
                    <w14:schemeClr w14:val="tx1"/>
                  </w14:solidFill>
                </w14:textFill>
              </w:rPr>
              <w:t>0%；申报正高的，三四级手术不少于</w:t>
            </w:r>
            <w:r>
              <w:rPr>
                <w:rFonts w:hint="eastAsia" w:ascii="仿宋" w:hAnsi="仿宋" w:eastAsia="仿宋" w:cs="LinTimes"/>
                <w:color w:val="000000" w:themeColor="text1"/>
                <w:kern w:val="0"/>
                <w:sz w:val="24"/>
                <w:szCs w:val="24"/>
                <w:lang w:val="en-US" w:eastAsia="zh-CN" w:bidi="ar"/>
                <w14:textFill>
                  <w14:solidFill>
                    <w14:schemeClr w14:val="tx1"/>
                  </w14:solidFill>
                </w14:textFill>
              </w:rPr>
              <w:t>6</w:t>
            </w:r>
            <w:r>
              <w:rPr>
                <w:rFonts w:hint="eastAsia" w:ascii="仿宋" w:hAnsi="仿宋" w:eastAsia="仿宋" w:cs="LinTimes"/>
                <w:color w:val="000000" w:themeColor="text1"/>
                <w:kern w:val="0"/>
                <w:sz w:val="24"/>
                <w:szCs w:val="24"/>
                <w:lang w:bidi="ar"/>
                <w14:textFill>
                  <w14:solidFill>
                    <w14:schemeClr w14:val="tx1"/>
                  </w14:solidFill>
                </w14:textFill>
              </w:rPr>
              <w:t>0%）</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普通外科、骨外科、眼科、整形外科</w:t>
            </w:r>
          </w:p>
        </w:tc>
      </w:tr>
      <w:tr>
        <w:tblPrEx>
          <w:tblLayout w:type="fixed"/>
          <w:tblCellMar>
            <w:top w:w="15" w:type="dxa"/>
            <w:left w:w="15" w:type="dxa"/>
            <w:bottom w:w="15" w:type="dxa"/>
            <w:right w:w="15" w:type="dxa"/>
          </w:tblCellMar>
        </w:tblPrEx>
        <w:trPr>
          <w:trHeight w:val="783"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胸心外科（胸外），泌尿外科、小儿外科、耳鼻喉科、肿瘤外科、妇产科</w:t>
            </w:r>
          </w:p>
        </w:tc>
      </w:tr>
      <w:tr>
        <w:tblPrEx>
          <w:tblLayout w:type="fixed"/>
          <w:tblCellMar>
            <w:top w:w="15" w:type="dxa"/>
            <w:left w:w="15" w:type="dxa"/>
            <w:bottom w:w="15" w:type="dxa"/>
            <w:right w:w="15" w:type="dxa"/>
          </w:tblCellMar>
        </w:tblPrEx>
        <w:trPr>
          <w:trHeight w:val="824" w:hRule="atLeast"/>
        </w:trPr>
        <w:tc>
          <w:tcPr>
            <w:tcW w:w="75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胸心外科（心外）、神经外科、烧伤外科</w:t>
            </w:r>
          </w:p>
        </w:tc>
      </w:tr>
      <w:tr>
        <w:tblPrEx>
          <w:tblLayout w:type="fixed"/>
          <w:tblCellMar>
            <w:top w:w="15" w:type="dxa"/>
            <w:left w:w="15" w:type="dxa"/>
            <w:bottom w:w="15" w:type="dxa"/>
            <w:right w:w="15" w:type="dxa"/>
          </w:tblCellMar>
        </w:tblPrEx>
        <w:trPr>
          <w:trHeight w:val="824" w:hRule="atLeast"/>
        </w:trPr>
        <w:tc>
          <w:tcPr>
            <w:tcW w:w="75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rPr>
                <w:rFonts w:ascii="LinTimes" w:hAnsi="LinTimes" w:eastAsia="仿宋_GB2312"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773" w:hRule="atLeast"/>
        </w:trPr>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其他临床专业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参与诊疗患者人数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重症医学、麻醉学、疼痛学、急诊医学、介入治疗</w:t>
            </w:r>
            <w:r>
              <w:rPr>
                <w:rFonts w:hint="eastAsia" w:ascii="仿宋" w:hAnsi="仿宋" w:eastAsia="仿宋" w:cs="LinTimes"/>
                <w:color w:val="000000" w:themeColor="text1"/>
                <w:kern w:val="0"/>
                <w:sz w:val="24"/>
                <w:szCs w:val="24"/>
                <w:lang w:bidi="ar"/>
                <w14:textFill>
                  <w14:solidFill>
                    <w14:schemeClr w14:val="tx1"/>
                  </w14:solidFill>
                </w14:textFill>
              </w:rPr>
              <w:t>、肿瘤放射治疗学、临床医学检验学、输血</w:t>
            </w:r>
          </w:p>
        </w:tc>
      </w:tr>
      <w:tr>
        <w:tblPrEx>
          <w:tblLayout w:type="fixed"/>
          <w:tblCellMar>
            <w:top w:w="15" w:type="dxa"/>
            <w:left w:w="15" w:type="dxa"/>
            <w:bottom w:w="15" w:type="dxa"/>
            <w:right w:w="15" w:type="dxa"/>
          </w:tblCellMar>
        </w:tblPrEx>
        <w:trPr>
          <w:trHeight w:val="671"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签发检查报告份数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7500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临床医学检验学</w:t>
            </w:r>
          </w:p>
        </w:tc>
      </w:tr>
      <w:tr>
        <w:tblPrEx>
          <w:tblLayout w:type="fixed"/>
          <w:tblCellMar>
            <w:top w:w="15" w:type="dxa"/>
            <w:left w:w="15" w:type="dxa"/>
            <w:bottom w:w="15" w:type="dxa"/>
            <w:right w:w="15" w:type="dxa"/>
          </w:tblCellMar>
        </w:tblPrEx>
        <w:trPr>
          <w:trHeight w:val="612"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放射医学、超声医学</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心电图诊断</w:t>
            </w:r>
          </w:p>
        </w:tc>
      </w:tr>
      <w:tr>
        <w:tblPrEx>
          <w:tblLayout w:type="fixed"/>
          <w:tblCellMar>
            <w:top w:w="15" w:type="dxa"/>
            <w:left w:w="15" w:type="dxa"/>
            <w:bottom w:w="15" w:type="dxa"/>
            <w:right w:w="15" w:type="dxa"/>
          </w:tblCellMar>
        </w:tblPrEx>
        <w:trPr>
          <w:trHeight w:val="53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病理学</w:t>
            </w:r>
          </w:p>
        </w:tc>
      </w:tr>
      <w:tr>
        <w:tblPrEx>
          <w:tblLayout w:type="fixed"/>
          <w:tblCellMar>
            <w:top w:w="15" w:type="dxa"/>
            <w:left w:w="15" w:type="dxa"/>
            <w:bottom w:w="15" w:type="dxa"/>
            <w:right w:w="15" w:type="dxa"/>
          </w:tblCellMar>
        </w:tblPrEx>
        <w:trPr>
          <w:trHeight w:val="59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核医学</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脑电图诊断</w:t>
            </w:r>
          </w:p>
        </w:tc>
      </w:tr>
      <w:tr>
        <w:tblPrEx>
          <w:tblLayout w:type="fixed"/>
          <w:tblCellMar>
            <w:top w:w="15" w:type="dxa"/>
            <w:left w:w="15" w:type="dxa"/>
            <w:bottom w:w="15" w:type="dxa"/>
            <w:right w:w="15" w:type="dxa"/>
          </w:tblCellMar>
        </w:tblPrEx>
        <w:trPr>
          <w:trHeight w:val="596" w:hRule="atLeast"/>
        </w:trPr>
        <w:tc>
          <w:tcPr>
            <w:tcW w:w="750"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口腔</w:t>
            </w: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无病房科室</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口腔内科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口腔修复</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口腔正畸</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口腔医学</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口腔外科</w:t>
            </w: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诊疗人次</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5464"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有病房科室</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口腔外科</w:t>
            </w: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spacing w:val="-23"/>
                <w:kern w:val="0"/>
                <w:sz w:val="24"/>
                <w:szCs w:val="24"/>
                <w:lang w:bidi="ar"/>
                <w14:textFill>
                  <w14:solidFill>
                    <w14:schemeClr w14:val="tx1"/>
                  </w14:solidFill>
                </w14:textFill>
              </w:rPr>
              <w:t>（参与或作为治疗组组长）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350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continue"/>
            <w:tcBorders>
              <w:left w:val="single" w:color="000000" w:sz="4" w:space="0"/>
              <w:right w:val="single" w:color="000000" w:sz="4" w:space="0"/>
            </w:tcBorders>
            <w:vAlign w:val="center"/>
          </w:tcPr>
          <w:p>
            <w:pPr>
              <w:widowControl/>
              <w:jc w:val="left"/>
              <w:textAlignment w:val="center"/>
              <w:rPr>
                <w:rFonts w:ascii="LinTimes" w:hAnsi="LinTimes" w:eastAsia="仿宋_GB2312"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kern w:val="0"/>
                <w:sz w:val="24"/>
                <w:szCs w:val="24"/>
                <w:lang w:bidi="ar"/>
                <w14:textFill>
                  <w14:solidFill>
                    <w14:schemeClr w14:val="tx1"/>
                  </w14:solidFill>
                </w14:textFill>
              </w:rPr>
              <w:t>/操作人次数</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LinTimes" w:hAnsi="LinTimes" w:eastAsia="仿宋_GB2312"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tcBorders>
              <w:top w:val="single" w:color="auto" w:sz="4" w:space="0"/>
              <w:left w:val="single" w:color="000000" w:sz="4" w:space="0"/>
              <w:bottom w:val="single" w:color="000000" w:sz="4" w:space="0"/>
              <w:right w:val="single" w:color="000000" w:sz="4" w:space="0"/>
            </w:tcBorders>
            <w:vAlign w:val="center"/>
          </w:tcPr>
          <w:p>
            <w:pPr>
              <w:jc w:val="center"/>
              <w:rPr>
                <w:rFonts w:ascii="LinTimes" w:hAnsi="LinTimes" w:eastAsia="仿宋_GB2312"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中医</w:t>
            </w: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非手术为主专业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门诊工作量（有病房）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5464" w:type="dxa"/>
            <w:vMerge w:val="restart"/>
            <w:tcBorders>
              <w:top w:val="single" w:color="000000" w:sz="4" w:space="0"/>
              <w:left w:val="single" w:color="000000" w:sz="4" w:space="0"/>
              <w:right w:val="single" w:color="000000" w:sz="4" w:space="0"/>
            </w:tcBorders>
            <w:vAlign w:val="center"/>
          </w:tcPr>
          <w:p>
            <w:pP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中医内科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中医儿科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针灸</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推拿</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中西医结合儿科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全科医学</w:t>
            </w:r>
            <w:r>
              <w:rPr>
                <w:rFonts w:hint="eastAsia" w:ascii="仿宋" w:hAnsi="仿宋" w:eastAsia="仿宋" w:cs="LinTimes"/>
                <w:color w:val="000000" w:themeColor="text1"/>
                <w:sz w:val="24"/>
                <w:szCs w:val="24"/>
                <w14:textFill>
                  <w14:solidFill>
                    <w14:schemeClr w14:val="tx1"/>
                  </w14:solidFill>
                </w14:textFill>
              </w:rPr>
              <w:t>（中医类）</w:t>
            </w: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900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门诊工作量（无病房）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手术为主专业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门诊工作量（有病房）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中医外科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中医肛肠</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中医皮肤</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中医骨伤</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中医耳鼻喉</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中医眼科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中西医结合外科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中西医结合妇科</w:t>
            </w: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kern w:val="0"/>
                <w:sz w:val="24"/>
                <w:szCs w:val="24"/>
                <w:lang w:bidi="ar"/>
                <w14:textFill>
                  <w14:solidFill>
                    <w14:schemeClr w14:val="tx1"/>
                  </w14:solidFill>
                </w14:textFill>
              </w:rPr>
              <w:t>/操作人次</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门诊工作量（无病房）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2286" w:hRule="exact"/>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公卫</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平均每年参加本专业工作时间不少于40周，其中现场工作或在基层工作天数不少于60天/年</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平均每年参加本专业工作时间不少于35周，其中现场工作或在基层工作天数不少于60天/年</w:t>
            </w:r>
          </w:p>
        </w:tc>
        <w:tc>
          <w:tcPr>
            <w:tcW w:w="54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LinTimes"/>
                <w:color w:val="000000" w:themeColor="text1"/>
                <w:sz w:val="24"/>
                <w:szCs w:val="24"/>
                <w14:textFill>
                  <w14:solidFill>
                    <w14:schemeClr w14:val="tx1"/>
                  </w14:solidFill>
                </w14:textFill>
              </w:rPr>
            </w:pPr>
            <w:r>
              <w:rPr>
                <w:rFonts w:hint="eastAsia" w:ascii="仿宋" w:hAnsi="仿宋" w:eastAsia="仿宋" w:cs="LinTimes"/>
                <w:color w:val="000000" w:themeColor="text1"/>
                <w:sz w:val="24"/>
                <w:szCs w:val="24"/>
                <w14:textFill>
                  <w14:solidFill>
                    <w14:schemeClr w14:val="tx1"/>
                  </w14:solidFill>
                </w14:textFill>
              </w:rPr>
              <w:t>流行病、寄生虫病、环境卫生、学校卫生、劳动卫生、放射卫生、地方病控制、病媒生物控制、卫生毒理、健康教育、营养与食品卫生</w:t>
            </w:r>
          </w:p>
        </w:tc>
      </w:tr>
    </w:tbl>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注1：</w:t>
      </w:r>
      <w:r>
        <w:rPr>
          <w:rFonts w:hint="eastAsia" w:ascii="LinTimes" w:hAnsi="LinTimes" w:eastAsia="楷体" w:cs="LinTimes"/>
          <w:color w:val="000000" w:themeColor="text1"/>
          <w:sz w:val="24"/>
          <w14:textFill>
            <w14:solidFill>
              <w14:schemeClr w14:val="tx1"/>
            </w14:solidFill>
          </w14:textFill>
        </w:rPr>
        <w:t>工作量指标是中级晋升副高、副高晋升正高期间的完成工作量，均从聘任时间开始计算。半天（4小时）接诊不少于15位为1个有效单元。</w:t>
      </w:r>
      <w:r>
        <w:rPr>
          <w:rFonts w:ascii="LinTimes" w:hAnsi="LinTimes" w:eastAsia="楷体" w:cs="LinTimes"/>
          <w:color w:val="000000" w:themeColor="text1"/>
          <w:sz w:val="24"/>
          <w14:textFill>
            <w14:solidFill>
              <w14:schemeClr w14:val="tx1"/>
            </w14:solidFill>
          </w14:textFill>
        </w:rPr>
        <w:t>非急诊科医生在5年期间如轮转急诊科，工作期间按照4小时为一个门诊单元数计算。针灸、推拿（按摩）、刮痧、拔罐等中医治疗技术，因受手法操作时间限制，工作量按照4小时为一个门诊单元数计算，不考虑治疗病人数量。</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注2：肾内科学专业透析工作按照4小时为一个门诊单元计算；传染病学专业医师门诊工作量包含发热门诊</w:t>
      </w:r>
      <w:r>
        <w:rPr>
          <w:rFonts w:hint="eastAsia" w:ascii="LinTimes" w:hAnsi="LinTimes" w:eastAsia="楷体" w:cs="LinTimes"/>
          <w:color w:val="000000" w:themeColor="text1"/>
          <w:sz w:val="24"/>
          <w14:textFill>
            <w14:solidFill>
              <w14:schemeClr w14:val="tx1"/>
            </w14:solidFill>
          </w14:textFill>
        </w:rPr>
        <w:t>、</w:t>
      </w:r>
      <w:r>
        <w:rPr>
          <w:rFonts w:ascii="LinTimes" w:hAnsi="LinTimes" w:eastAsia="楷体" w:cs="LinTimes"/>
          <w:color w:val="000000" w:themeColor="text1"/>
          <w:sz w:val="24"/>
          <w14:textFill>
            <w14:solidFill>
              <w14:schemeClr w14:val="tx1"/>
            </w14:solidFill>
          </w14:textFill>
        </w:rPr>
        <w:t>肠道门诊工作时间</w:t>
      </w:r>
      <w:r>
        <w:rPr>
          <w:rFonts w:hint="eastAsia" w:ascii="LinTimes" w:hAnsi="LinTimes" w:eastAsia="楷体" w:cs="LinTimes"/>
          <w:color w:val="000000" w:themeColor="text1"/>
          <w:sz w:val="24"/>
          <w14:textFill>
            <w14:solidFill>
              <w14:schemeClr w14:val="tx1"/>
            </w14:solidFill>
          </w14:textFill>
        </w:rPr>
        <w:t>和会诊时间</w:t>
      </w:r>
      <w:r>
        <w:rPr>
          <w:rFonts w:ascii="LinTimes" w:hAnsi="LinTimes" w:eastAsia="楷体" w:cs="LinTimes"/>
          <w:color w:val="000000" w:themeColor="text1"/>
          <w:sz w:val="24"/>
          <w14:textFill>
            <w14:solidFill>
              <w14:schemeClr w14:val="tx1"/>
            </w14:solidFill>
          </w14:textFill>
        </w:rPr>
        <w:t>，如无病房则放入无病房组。</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注3：全科医学专业医师门诊工作量包含下基层指导工作时间，如无病房则放入无病房组。</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注4：内镜诊疗5000人次（含内镜下治疗手术，晋升副主任医师至少500例，晋升主任医师至少800例，门诊患者和出院患者均包括）为消化内科学专业必备的申报条件之一。</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注5：呼吸内镜诊疗200人次（含呼吸内镜下检查与治疗，门诊患者和出院患者均包括）为呼吸内科学专业必备的申报条件之一。</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注6：心血管内科学和神经内科学及其他有介入治疗的专业可参照手术为主临床专业执行。</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注7：整形外科学专业的工作量指标不含出院人数，其出院患者手术/操作人次数调整为手术/操作人次数（含门诊患者和出院患者手术/操作人次数）。</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注8：出院患者手术/操作人次晋升副主任医师以主刀或一助计算；晋升主任医师以主刀计算。</w:t>
      </w:r>
    </w:p>
    <w:p>
      <w:pPr>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注9：临床医学检验学专业中，形态、血液、微生物等亚专业申报条件为参与诊疗患者人次数，临检、生化、免疫等亚专业的申报条件为签发检查报告份数。</w:t>
      </w:r>
    </w:p>
    <w:p>
      <w:pPr>
        <w:snapToGrid w:val="0"/>
        <w:spacing w:line="320" w:lineRule="exact"/>
        <w:rPr>
          <w:rFonts w:ascii="LinTimes" w:hAnsi="LinTimes" w:eastAsia="楷体" w:cs="LinTimes"/>
          <w:color w:val="000000" w:themeColor="text1"/>
          <w:sz w:val="24"/>
          <w14:textFill>
            <w14:solidFill>
              <w14:schemeClr w14:val="tx1"/>
            </w14:solidFill>
          </w14:textFill>
        </w:rPr>
      </w:pPr>
    </w:p>
    <w:p>
      <w:pPr>
        <w:widowControl/>
        <w:jc w:val="left"/>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2</w:t>
      </w:r>
    </w:p>
    <w:p>
      <w:pPr>
        <w:jc w:val="center"/>
        <w:rPr>
          <w:rFonts w:cs="LinTimes" w:asciiTheme="minorEastAsia" w:hAnsiTheme="minorEastAsia"/>
          <w:b/>
          <w:color w:val="000000" w:themeColor="text1"/>
          <w:sz w:val="44"/>
          <w:szCs w:val="44"/>
          <w14:textFill>
            <w14:solidFill>
              <w14:schemeClr w14:val="tx1"/>
            </w14:solidFill>
          </w14:textFill>
        </w:rPr>
      </w:pPr>
      <w:r>
        <w:rPr>
          <w:rFonts w:cs="LinTimes" w:asciiTheme="minorEastAsia" w:hAnsiTheme="minorEastAsia"/>
          <w:b/>
          <w:color w:val="000000" w:themeColor="text1"/>
          <w:sz w:val="44"/>
          <w:szCs w:val="44"/>
          <w14:textFill>
            <w14:solidFill>
              <w14:schemeClr w14:val="tx1"/>
            </w14:solidFill>
          </w14:textFill>
        </w:rPr>
        <w:t>临床</w:t>
      </w:r>
      <w:r>
        <w:rPr>
          <w:rFonts w:hint="eastAsia" w:cs="LinTimes" w:asciiTheme="minorEastAsia" w:hAnsiTheme="minorEastAsia"/>
          <w:b/>
          <w:color w:val="000000" w:themeColor="text1"/>
          <w:sz w:val="44"/>
          <w:szCs w:val="44"/>
          <w14:textFill>
            <w14:solidFill>
              <w14:schemeClr w14:val="tx1"/>
            </w14:solidFill>
          </w14:textFill>
        </w:rPr>
        <w:t>、</w:t>
      </w:r>
      <w:r>
        <w:rPr>
          <w:rFonts w:cs="LinTimes" w:asciiTheme="minorEastAsia" w:hAnsiTheme="minorEastAsia"/>
          <w:b/>
          <w:color w:val="000000" w:themeColor="text1"/>
          <w:sz w:val="44"/>
          <w:szCs w:val="44"/>
          <w14:textFill>
            <w14:solidFill>
              <w14:schemeClr w14:val="tx1"/>
            </w14:solidFill>
          </w14:textFill>
        </w:rPr>
        <w:t>中医</w:t>
      </w:r>
      <w:r>
        <w:rPr>
          <w:rFonts w:hint="eastAsia" w:cs="LinTimes" w:asciiTheme="minorEastAsia" w:hAnsiTheme="minorEastAsia"/>
          <w:b/>
          <w:color w:val="000000" w:themeColor="text1"/>
          <w:sz w:val="44"/>
          <w:szCs w:val="44"/>
          <w14:textFill>
            <w14:solidFill>
              <w14:schemeClr w14:val="tx1"/>
            </w14:solidFill>
          </w14:textFill>
        </w:rPr>
        <w:t>、口腔</w:t>
      </w:r>
      <w:r>
        <w:rPr>
          <w:rFonts w:cs="LinTimes" w:asciiTheme="minorEastAsia" w:hAnsiTheme="minorEastAsia"/>
          <w:b/>
          <w:color w:val="000000" w:themeColor="text1"/>
          <w:sz w:val="44"/>
          <w:szCs w:val="44"/>
          <w14:textFill>
            <w14:solidFill>
              <w14:schemeClr w14:val="tx1"/>
            </w14:solidFill>
          </w14:textFill>
        </w:rPr>
        <w:t>专业高级职称评价指标</w:t>
      </w:r>
    </w:p>
    <w:tbl>
      <w:tblPr>
        <w:tblStyle w:val="7"/>
        <w:tblW w:w="1473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55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1417" w:type="dxa"/>
            <w:vMerge w:val="restart"/>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技术</w:t>
            </w:r>
          </w:p>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能力</w:t>
            </w:r>
          </w:p>
        </w:tc>
        <w:tc>
          <w:tcPr>
            <w:tcW w:w="1417" w:type="dxa"/>
            <w:vMerge w:val="restart"/>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出院患者病种范围和例数</w:t>
            </w:r>
          </w:p>
        </w:tc>
        <w:tc>
          <w:tcPr>
            <w:tcW w:w="2385" w:type="dxa"/>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基本病种覆盖率</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考核期内医师诊治的本专业出院患者中覆盖的基本病种数占本专业所有基本病种数的比例。</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考核期内医师诊治的本专业出院患者覆盖基本病种数/本专业基本病种总数×100%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spacing w:val="-6"/>
                <w:kern w:val="0"/>
                <w:sz w:val="28"/>
                <w:szCs w:val="24"/>
                <w14:textFill>
                  <w14:solidFill>
                    <w14:schemeClr w14:val="tx1"/>
                  </w14:solidFill>
                </w14:textFill>
              </w:rPr>
            </w:pPr>
            <w:r>
              <w:rPr>
                <w:rFonts w:ascii="仿宋" w:hAnsi="仿宋" w:eastAsia="仿宋" w:cs="LinTimes"/>
                <w:bCs/>
                <w:color w:val="000000" w:themeColor="text1"/>
                <w:spacing w:val="-6"/>
                <w:kern w:val="0"/>
                <w:sz w:val="28"/>
                <w:szCs w:val="24"/>
                <w14:textFill>
                  <w14:solidFill>
                    <w14:schemeClr w14:val="tx1"/>
                  </w14:solidFill>
                </w14:textFill>
              </w:rPr>
              <w:t>基本病种诊疗人数</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考核期内医师诊治的本专业基本病种出院人数。</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考核期内医师诊治的符合本专业基本病种纳入条件的出院人数之和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疑难病种覆盖率</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考核期内医师诊治的本专业出院患者中覆盖的疑难病种数占本专业所有疑难病种数的比例。</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考核期内医师诊治的本专业出院患者覆盖疑难病种数/本专业疑难病种总数×100%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spacing w:val="-6"/>
                <w:kern w:val="0"/>
                <w:sz w:val="28"/>
                <w:szCs w:val="24"/>
                <w14:textFill>
                  <w14:solidFill>
                    <w14:schemeClr w14:val="tx1"/>
                  </w14:solidFill>
                </w14:textFill>
              </w:rPr>
            </w:pPr>
            <w:r>
              <w:rPr>
                <w:rFonts w:ascii="仿宋" w:hAnsi="仿宋" w:eastAsia="仿宋" w:cs="LinTimes"/>
                <w:bCs/>
                <w:color w:val="000000" w:themeColor="text1"/>
                <w:spacing w:val="-6"/>
                <w:kern w:val="0"/>
                <w:sz w:val="28"/>
                <w:szCs w:val="24"/>
                <w14:textFill>
                  <w14:solidFill>
                    <w14:schemeClr w14:val="tx1"/>
                  </w14:solidFill>
                </w14:textFill>
              </w:rPr>
              <w:t>疑难病种诊疗人数</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考核期内医师诊治的本专业疑难病种出院人数。</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考核期内医师诊治的符合本专业疑难病种纳入条件的出院人数之和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restart"/>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技术</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能力</w:t>
            </w:r>
          </w:p>
        </w:tc>
        <w:tc>
          <w:tcPr>
            <w:tcW w:w="1417" w:type="dxa"/>
            <w:vMerge w:val="restart"/>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出院患者手术难度和例数</w:t>
            </w: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基本手术覆盖率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考核期内医师施行的本专业基本手术(或操作)种类数占所有基本手术(或操作)种类数的比例。</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考核期内出院患者中医师施行的本专业手术（或操作）患者覆盖基本手术种类数/本专业基本手术（或操作）种类总数×100%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基本手术人次数</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考核期内医师施行的本专业基本手术(或操作)的人次数。</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考核期内出院患者中医师施行的符合本专业基本手术（或操作）纳入条件的手术人次数之和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疑难手术覆盖率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考核期内医师施行的本专业疑难手术(或操作)种类数占所有疑难手术(含操作)种类数的比重。</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考核期内出院患者中医师施行的本专业手术（或操作）患者覆盖疑难手术种类数/本专业疑难手术种类总数×100%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疑难手术人次数</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考核期内医师施行的本专业疑难手术(或操作)的人次数。</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考核期内出院患者中医师施行的符合本专业疑难手术（或操作）纳入条件的手术人次数之和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1417" w:type="dxa"/>
            <w:vMerge w:val="restart"/>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技术</w:t>
            </w:r>
          </w:p>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能力</w:t>
            </w:r>
          </w:p>
        </w:tc>
        <w:tc>
          <w:tcPr>
            <w:tcW w:w="1417" w:type="dxa"/>
            <w:vMerge w:val="restart"/>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中医治疗情况</w:t>
            </w:r>
          </w:p>
        </w:tc>
        <w:tc>
          <w:tcPr>
            <w:tcW w:w="2385"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以中医为主治疗的出院患者比例</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考核期内医师以中医为主治疗本专业出院患者的比例。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考核期内医师以中医为主治疗的本专业出院患者数量/本专业出院患者总数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中药饮片处方比</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考核期内医师对出院患者开具的中药饮片处方占所有处方的比例。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考核期内医师对出院患者开具的中药饮片处方数/所有处方总数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中医治疗疑难危重病患者数量</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考核期内医师诊治的本专业疑难病数量。</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考核期内出院患者中医诊治的本专业疑难病数量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中医非药物疗法使用率</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考核期内医师诊治的出院患者使用中医非药物疗法的比例。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考核期内医师诊治的出院患者使用中医非药物疗法数量/中医药物和非药物疗法总数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中医药治疗疗效</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考核期内医师用中医药方法治疗本专业疾病疗效</w:t>
            </w:r>
            <w:r>
              <w:rPr>
                <w:rFonts w:ascii="仿宋_GB2312" w:hAnsi="仿宋_GB2312" w:eastAsia="仿宋_GB2312" w:cs="仿宋_GB2312"/>
                <w:color w:val="000000" w:themeColor="text1"/>
                <w:kern w:val="0"/>
                <w:sz w:val="28"/>
                <w:szCs w:val="28"/>
                <w14:textFill>
                  <w14:solidFill>
                    <w14:schemeClr w14:val="tx1"/>
                  </w14:solidFill>
                </w14:textFill>
              </w:rPr>
              <w:t>。</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同行评议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质量</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安全</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并发症</w:t>
            </w:r>
          </w:p>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发生率</w:t>
            </w:r>
          </w:p>
        </w:tc>
        <w:tc>
          <w:tcPr>
            <w:tcW w:w="2385" w:type="dxa"/>
            <w:vAlign w:val="center"/>
          </w:tcPr>
          <w:p>
            <w:pPr>
              <w:widowControl/>
              <w:spacing w:line="44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出院患者并发症发生率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考核期内医师诊治的出院患者在住院期间因治疗或者施行某种择期手术或操作而发生并发症的例数占同期医师诊治的出院人数的比例。</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考核期内医师诊治的出院患者在住院期间因治疗或者施行某种择期手术或操作而发生并发症的人数/同期该医师诊治的所有出院人数×100%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资源</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利用</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spacing w:val="-23"/>
                <w:kern w:val="0"/>
                <w:sz w:val="28"/>
                <w:szCs w:val="28"/>
                <w14:textFill>
                  <w14:solidFill>
                    <w14:schemeClr w14:val="tx1"/>
                  </w14:solidFill>
                </w14:textFill>
              </w:rPr>
              <w:t>平均住院日</w:t>
            </w: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平均住院日</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考核期内医师诊治的某病种出院患者平均住院时间。</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考核期内医师诊治的某病种出院患者占用总床日数/同期该医师诊治的同病种出院人数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患者</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管理</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次均费用</w:t>
            </w:r>
          </w:p>
        </w:tc>
        <w:tc>
          <w:tcPr>
            <w:tcW w:w="2385" w:type="dxa"/>
            <w:vAlign w:val="center"/>
          </w:tcPr>
          <w:p>
            <w:pPr>
              <w:widowControl/>
              <w:jc w:val="center"/>
              <w:rPr>
                <w:rFonts w:ascii="LinTimes" w:hAnsi="LinTimes" w:eastAsia="仿宋_GB2312" w:cs="LinTimes"/>
                <w:bCs/>
                <w:color w:val="000000" w:themeColor="text1"/>
                <w:spacing w:val="-6"/>
                <w:kern w:val="0"/>
                <w:sz w:val="28"/>
                <w:szCs w:val="28"/>
                <w14:textFill>
                  <w14:solidFill>
                    <w14:schemeClr w14:val="tx1"/>
                  </w14:solidFill>
                </w14:textFill>
              </w:rPr>
            </w:pPr>
            <w:r>
              <w:rPr>
                <w:rFonts w:ascii="LinTimes" w:hAnsi="LinTimes" w:eastAsia="仿宋_GB2312" w:cs="LinTimes"/>
                <w:bCs/>
                <w:color w:val="000000" w:themeColor="text1"/>
                <w:spacing w:val="-6"/>
                <w:kern w:val="0"/>
                <w:sz w:val="28"/>
                <w:szCs w:val="28"/>
                <w14:textFill>
                  <w14:solidFill>
                    <w14:schemeClr w14:val="tx1"/>
                  </w14:solidFill>
                </w14:textFill>
              </w:rPr>
              <w:t>住院患者次均费用</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考核期内医师诊治的某病种出院患者平均住院费用。</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考核期内医师诊治的某病种出院患者总住院费用/同期该医师诊治的同病种出院人数</w:t>
            </w:r>
          </w:p>
        </w:tc>
      </w:tr>
    </w:tbl>
    <w:p>
      <w:pPr>
        <w:spacing w:before="156" w:beforeLines="50"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注：1. 某专业基本病种、疑难病种、基本手术、疑难手术由专家共识和大数据统计结果形成。</w:t>
      </w:r>
    </w:p>
    <w:p>
      <w:pPr>
        <w:spacing w:line="320" w:lineRule="exact"/>
        <w:ind w:firstLine="476"/>
        <w:rPr>
          <w:rFonts w:hAnsi="Calibri"/>
          <w:bCs/>
          <w:color w:val="000000" w:themeColor="text1"/>
          <w:sz w:val="32"/>
          <w:szCs w:val="32"/>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2. 手术人次计算：患者在1次住院期间施行多次手术，按实际手术次数统计；在1次手术中涉及多个部位手术的按1次统计。</w:t>
      </w:r>
      <w:r>
        <w:rPr>
          <w:rFonts w:hint="eastAsia" w:hAnsi="Calibri"/>
          <w:bCs/>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480" w:firstLineChars="200"/>
        <w:rPr>
          <w:rFonts w:ascii="LinTimes" w:hAnsi="LinTimes" w:eastAsia="楷体" w:cs="LinTimes"/>
          <w:color w:val="000000" w:themeColor="text1"/>
          <w14:textFill>
            <w14:solidFill>
              <w14:schemeClr w14:val="tx1"/>
            </w14:solidFill>
          </w14:textFill>
        </w:rPr>
      </w:pPr>
      <w:r>
        <w:rPr>
          <w:rFonts w:ascii="LinTimes" w:hAnsi="LinTimes" w:eastAsia="楷体" w:cs="LinTimes"/>
          <w:color w:val="000000" w:themeColor="text1"/>
          <w14:textFill>
            <w14:solidFill>
              <w14:schemeClr w14:val="tx1"/>
            </w14:solidFill>
          </w14:textFill>
        </w:rPr>
        <w:t>3. 中药饮片处方比和中医非药物疗法使用率两个指标可任选其一，也可同时使用，视各地具体情况确定。</w:t>
      </w:r>
    </w:p>
    <w:p>
      <w:pPr>
        <w:widowControl/>
        <w:jc w:val="left"/>
        <w:rPr>
          <w:rFonts w:ascii="仿宋" w:hAnsi="仿宋" w:eastAsia="仿宋"/>
          <w:color w:val="000000" w:themeColor="text1"/>
          <w:sz w:val="32"/>
          <w:szCs w:val="32"/>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r>
        <w:rPr>
          <w:rFonts w:ascii="LinTimes" w:hAnsi="LinTimes" w:eastAsia="楷体" w:cs="LinTimes"/>
          <w:color w:val="000000" w:themeColor="text1"/>
          <w14:textFill>
            <w14:solidFill>
              <w14:schemeClr w14:val="tx1"/>
            </w14:solidFill>
          </w14:textFill>
        </w:rPr>
        <w:br w:type="page"/>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河南省</w:t>
      </w:r>
      <w:r>
        <w:rPr>
          <w:rFonts w:asciiTheme="majorEastAsia" w:hAnsiTheme="majorEastAsia" w:eastAsiaTheme="majorEastAsia"/>
          <w:color w:val="000000" w:themeColor="text1"/>
          <w:sz w:val="44"/>
          <w:szCs w:val="44"/>
          <w14:textFill>
            <w14:solidFill>
              <w14:schemeClr w14:val="tx1"/>
            </w14:solidFill>
          </w14:textFill>
        </w:rPr>
        <w:t>卫生系列高级职称申报评审条件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（护理类）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一、为了客观、公正、科学地评价卫生专业技术人员的能力与水平，建立完善考评结合的人才评价机制，促进全省卫生人才队伍整体素质的提高，推动卫生健康事业的发展，根据</w:t>
      </w:r>
      <w:r>
        <w:rPr>
          <w:rFonts w:hint="eastAsia" w:ascii="仿宋" w:hAnsi="仿宋" w:eastAsia="仿宋" w:cs="仿宋_GB2312"/>
          <w:color w:val="000000" w:themeColor="text1"/>
          <w:kern w:val="0"/>
          <w:sz w:val="32"/>
          <w:szCs w:val="32"/>
          <w14:textFill>
            <w14:solidFill>
              <w14:schemeClr w14:val="tx1"/>
            </w14:solidFill>
          </w14:textFill>
        </w:rPr>
        <w:t>人力资源社会保障部、国家卫生健康委、国家中医药局《关于深化卫生专业技术人员职称制度改革的指导意见》（人社部发〔</w:t>
      </w:r>
      <w:r>
        <w:rPr>
          <w:rFonts w:ascii="仿宋" w:hAnsi="仿宋" w:eastAsia="仿宋" w:cs="TimesNewRomanPSMT"/>
          <w:color w:val="000000" w:themeColor="text1"/>
          <w:kern w:val="0"/>
          <w:sz w:val="32"/>
          <w:szCs w:val="32"/>
          <w14:textFill>
            <w14:solidFill>
              <w14:schemeClr w14:val="tx1"/>
            </w14:solidFill>
          </w14:textFill>
        </w:rPr>
        <w:t>2021</w:t>
      </w:r>
      <w:r>
        <w:rPr>
          <w:rFonts w:hint="eastAsia" w:ascii="仿宋" w:hAnsi="仿宋" w:eastAsia="仿宋" w:cs="仿宋_GB2312"/>
          <w:color w:val="000000" w:themeColor="text1"/>
          <w:kern w:val="0"/>
          <w:sz w:val="32"/>
          <w:szCs w:val="32"/>
          <w14:textFill>
            <w14:solidFill>
              <w14:schemeClr w14:val="tx1"/>
            </w14:solidFill>
          </w14:textFill>
        </w:rPr>
        <w:t>〕</w:t>
      </w:r>
      <w:r>
        <w:rPr>
          <w:rFonts w:ascii="仿宋" w:hAnsi="仿宋" w:eastAsia="仿宋" w:cs="TimesNewRomanPSMT"/>
          <w:color w:val="000000" w:themeColor="text1"/>
          <w:kern w:val="0"/>
          <w:sz w:val="32"/>
          <w:szCs w:val="32"/>
          <w14:textFill>
            <w14:solidFill>
              <w14:schemeClr w14:val="tx1"/>
            </w14:solidFill>
          </w14:textFill>
        </w:rPr>
        <w:t xml:space="preserve">51 </w:t>
      </w:r>
      <w:r>
        <w:rPr>
          <w:rFonts w:hint="eastAsia" w:ascii="仿宋" w:hAnsi="仿宋" w:eastAsia="仿宋" w:cs="仿宋_GB2312"/>
          <w:color w:val="000000" w:themeColor="text1"/>
          <w:kern w:val="0"/>
          <w:sz w:val="32"/>
          <w:szCs w:val="32"/>
          <w14:textFill>
            <w14:solidFill>
              <w14:schemeClr w14:val="tx1"/>
            </w14:solidFill>
          </w14:textFill>
        </w:rPr>
        <w:t>号）和</w:t>
      </w:r>
      <w:r>
        <w:rPr>
          <w:rFonts w:hint="eastAsia" w:ascii="仿宋" w:hAnsi="仿宋" w:eastAsia="仿宋"/>
          <w:color w:val="000000" w:themeColor="text1"/>
          <w:sz w:val="32"/>
          <w:szCs w:val="32"/>
          <w14:textFill>
            <w14:solidFill>
              <w14:schemeClr w14:val="tx1"/>
            </w14:solidFill>
          </w14:textFill>
        </w:rPr>
        <w:t>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二、卫生系列护理类副高级职称的名称为副主任护师，正高级职称的名称为主任护师。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三、卫生系列护理类高级职称的申报须符合我省岗位结构比例标准的规定，社会办医疗卫生机构参照执行。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四、卫生系列护理类高级职称采取考试与评审相结合的方式。业务水平考试合格者方可报送评审材料，考试成绩三年有效。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本条件为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六、本条件适用于全省各级各类医疗卫生机构中从事护理专业的卫生专业技术人员。适用专业包括：内科护理、外科护理、妇科护理、儿科护理、中医护理、护理学。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（四）取得护士资格，并按有关规定注册，取得相应的执业证书。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1.申报副主任护师职称，需具备护理、助产专业大学本科及以上学历或学士及以上学位，受聘担任主管护师职务满5年；具备护理、助产大专学历，受聘担任主管护师职务满7年。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2.申报主任护师职称，需具备护理、助产专业大学本科及以上学历或学士及以上学位，受聘担任副主任护师职务满5年。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完成健康科普工作要求。开展健康科普知识宣讲，每年不少于2次；或者在各级主流媒体、省级以上行业报刊，发表健康科普文章、音视频作品，每年不少于1篇（条）；或者在各级卫生健康部门和县级以上医疗机构等新媒体平台，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（七）任现职以来完成规定的工作量要求（详见附表）。</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能够正确按照护理程序开展临床护理工作，熟练掌握本专科病人的护理要点、治疗原则，能熟练地配合医生抢救本专业危重病人。具有指导本专业下级护理人员的能力，有带教2名护理专业技术人员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护师水平的基础上，精通护理学某一专科的基本理论知识与技能，并有所专长。深入了解本专业国内外现状及发展趋势，不断吸取新理论、新知识、新技术并用于临床实践。具有丰富的本专业工作经验，能独立解决复杂或重大技术问题，具有指导本专业下级护理人员的能力，有培养2名主管护师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工作业绩实行成果代表作制度。申报人员应提交任现职以来代表个人专业技术能力和水平的标志性工作业绩2项以上（第1项为必备）。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（1）解决护理专业多学科合作疑难复杂问题、参与开展新技术或新业务形成的护理案例、操作视频、应急处置情况报告等。须附相关原始资料。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（3）结合护理专业临床实践，在推荐学术期刊上发表的本专业论文</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篇（不少于2500字）；在省属医疗卫生机构工作的人员，</w:t>
      </w:r>
      <w:r>
        <w:rPr>
          <w:rFonts w:hint="eastAsia" w:ascii="仿宋" w:hAnsi="仿宋" w:eastAsia="仿宋"/>
          <w:color w:val="000000" w:themeColor="text1"/>
          <w:sz w:val="32"/>
          <w:szCs w:val="32"/>
          <w:lang w:eastAsia="zh-CN"/>
          <w14:textFill>
            <w14:solidFill>
              <w14:schemeClr w14:val="tx1"/>
            </w14:solidFill>
          </w14:textFill>
        </w:rPr>
        <w:t>至少有一篇</w:t>
      </w:r>
      <w:r>
        <w:rPr>
          <w:rFonts w:hint="eastAsia" w:ascii="仿宋" w:hAnsi="仿宋" w:eastAsia="仿宋"/>
          <w:color w:val="000000" w:themeColor="text1"/>
          <w:sz w:val="32"/>
          <w:szCs w:val="32"/>
          <w14:textFill>
            <w14:solidFill>
              <w14:schemeClr w14:val="tx1"/>
            </w14:solidFill>
          </w14:textFill>
        </w:rPr>
        <w:t>发表在二类以上学术期刊上。须附相关原始资料。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（4）获本专业省辖市（厅）级二等以上科技进步奖、科技成果奖（限前5名）；或获本专业省辖市（厅）级三等以上科技进步奖、科技成果奖（限前3名）。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（5）参与研究并形成的省级及以上技术规范、卫生标准、临床指南或专家共识1项（限前5名）。</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（6）吸取新理论、新知识、新技术形成的与护理专业相关的发明专利1项（限第1原始发明人）,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熟练解决护理专业多学科合作的疑难复杂问题、主持开展新技术新业务形成的高质量护理案例、操作视频、应急处置情况报告等。须附相关原始资料。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（2）主持完成市（厅）级以上科研课题1项，课题经费不少于2万元（限第1名）。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（3）结合本专业临床实践，在二类以上推荐学术期刊上发表的本专业论文2篇（每篇不少于2500字）。须附相关原始资料。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（4）获本专业省辖市（厅）级二等以上科技进步奖、科技成果奖（限前3名）；或获本专业省辖市（厅）级三等以上科技进步奖、科技成果奖（限前1名）。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（6）运用新理论、新知识、新技术形成的与护理专业相关的发明专利2项（限第1原始发明人）,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护理专业技术人员在任期内须每年向单位提交本人在实际工作中解决本专业复杂疑难问题的护理案例报告5份（每份2000字以上），并附原始临床资料，由单位随机抽取5份参加评审（近5年每年抽取1份）。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八、本条件自 年 月 日起施行。</w:t>
      </w:r>
    </w:p>
    <w:p>
      <w:pPr>
        <w:widowControl/>
        <w:jc w:val="left"/>
        <w:rPr>
          <w:rFonts w:ascii="仿宋" w:hAnsi="仿宋" w:eastAsia="仿宋"/>
          <w:color w:val="000000" w:themeColor="text1"/>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ascii="仿宋" w:hAnsi="仿宋" w:eastAsia="仿宋"/>
          <w:color w:val="000000" w:themeColor="text1"/>
          <w:sz w:val="32"/>
          <w:szCs w:val="32"/>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p>
    <w:p>
      <w:pPr>
        <w:jc w:val="center"/>
        <w:rPr>
          <w:rFonts w:asciiTheme="minorEastAsia" w:hAnsiTheme="minorEastAsia"/>
          <w:color w:val="000000" w:themeColor="text1"/>
          <w:sz w:val="44"/>
          <w:szCs w:val="44"/>
          <w14:textFill>
            <w14:solidFill>
              <w14:schemeClr w14:val="tx1"/>
            </w14:solidFill>
          </w14:textFill>
        </w:rPr>
      </w:pPr>
      <w:r>
        <w:rPr>
          <w:rFonts w:hint="eastAsia" w:cs="LinTimes" w:asciiTheme="minorEastAsia" w:hAnsiTheme="minorEastAsia"/>
          <w:b/>
          <w:color w:val="000000" w:themeColor="text1"/>
          <w:kern w:val="0"/>
          <w:sz w:val="44"/>
          <w:szCs w:val="44"/>
          <w:lang w:bidi="ar"/>
          <w14:textFill>
            <w14:solidFill>
              <w14:schemeClr w14:val="tx1"/>
            </w14:solidFill>
          </w14:textFill>
        </w:rPr>
        <w:t>护理专业晋升高级职称工作量要求</w:t>
      </w:r>
    </w:p>
    <w:tbl>
      <w:tblPr>
        <w:tblStyle w:val="8"/>
        <w:tblW w:w="13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851"/>
        <w:gridCol w:w="3969"/>
        <w:gridCol w:w="425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评价项目</w:t>
            </w:r>
          </w:p>
        </w:tc>
        <w:tc>
          <w:tcPr>
            <w:tcW w:w="851"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单位</w:t>
            </w:r>
          </w:p>
        </w:tc>
        <w:tc>
          <w:tcPr>
            <w:tcW w:w="3969"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晋升</w:t>
            </w:r>
          </w:p>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副主任护师</w:t>
            </w:r>
          </w:p>
        </w:tc>
        <w:tc>
          <w:tcPr>
            <w:tcW w:w="4252"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晋升</w:t>
            </w:r>
          </w:p>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主任护师</w:t>
            </w:r>
          </w:p>
        </w:tc>
        <w:tc>
          <w:tcPr>
            <w:tcW w:w="2084"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2018"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工作时间</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周</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担任主管护师期间，平均每年参加临床护理、护理管理、护理教学工作时间总计不少于40周</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担任副主任护师期间，平均每年参加临床护理、护理管理、护理教学工作时间总计不少于35周</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jc w:val="center"/>
        </w:trPr>
        <w:tc>
          <w:tcPr>
            <w:tcW w:w="2018"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责任护士和质控护士记录</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担任主管护师期间，病历首页责任护士和质控护士记录累计不少于480条（急诊、重症、手术室、血透、导管室等科室从相应记录单提取护士记录）</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担任副主任护师期间，病历首页责任护士和质控护士记录累计不少于240条（急诊、重症、手术室、血透、导管室等科室从相应记录单提取护士记录）</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018" w:type="dxa"/>
            <w:vMerge w:val="restart"/>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护理人数或参与临床工作量</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人次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护理患者人数不少于2400人次</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护理患者人数不少于1200人次</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有病房科室护士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Merge w:val="continue"/>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人次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配合医师诊疗患者人数不少于2400人次</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配合医师诊疗患者人数不少于1200人次</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无病房科室护士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2018" w:type="dxa"/>
            <w:vMerge w:val="continue"/>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台次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配合手术次数不少于600台次（四级手术次数不少于60台次）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配合手术次数不少于300台次（四级手术次数不少于30台次）</w:t>
            </w:r>
          </w:p>
        </w:tc>
        <w:tc>
          <w:tcPr>
            <w:tcW w:w="2084"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手术室护士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专科护理操作</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动静脉穿刺术及护理、各种引流管道的护理、血滤等不少于</w:t>
            </w:r>
            <w:r>
              <w:rPr>
                <w:rFonts w:hint="eastAsia" w:ascii="仿宋" w:hAnsi="仿宋" w:eastAsia="仿宋"/>
                <w:bCs/>
                <w:color w:val="000000" w:themeColor="text1"/>
                <w:sz w:val="24"/>
                <w:szCs w:val="24"/>
                <w14:textFill>
                  <w14:solidFill>
                    <w14:schemeClr w14:val="tx1"/>
                  </w14:solidFill>
                </w14:textFill>
              </w:rPr>
              <w:t>1000例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动静脉穿刺术及护理、各种引流管道的护理、血滤等不少</w:t>
            </w:r>
            <w:r>
              <w:rPr>
                <w:rFonts w:hint="eastAsia" w:ascii="仿宋" w:hAnsi="仿宋" w:eastAsia="仿宋"/>
                <w:bCs/>
                <w:color w:val="000000" w:themeColor="text1"/>
                <w:sz w:val="24"/>
                <w:szCs w:val="24"/>
                <w14:textFill>
                  <w14:solidFill>
                    <w14:schemeClr w14:val="tx1"/>
                  </w14:solidFill>
                </w14:textFill>
              </w:rPr>
              <w:t>800例</w:t>
            </w:r>
          </w:p>
        </w:tc>
        <w:tc>
          <w:tcPr>
            <w:tcW w:w="2084" w:type="dxa"/>
            <w:vMerge w:val="restart"/>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仪器使用</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使用监护仪、呼吸机、血气机、血糖仪等不少于</w:t>
            </w:r>
            <w:r>
              <w:rPr>
                <w:rFonts w:hint="eastAsia" w:ascii="仿宋" w:hAnsi="仿宋" w:eastAsia="仿宋"/>
                <w:bCs/>
                <w:color w:val="000000" w:themeColor="text1"/>
                <w:sz w:val="24"/>
                <w:szCs w:val="24"/>
                <w14:textFill>
                  <w14:solidFill>
                    <w14:schemeClr w14:val="tx1"/>
                  </w14:solidFill>
                </w14:textFill>
              </w:rPr>
              <w:t>200例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使用监护仪、呼吸机、血气机、血糖仪等不少于</w:t>
            </w:r>
            <w:r>
              <w:rPr>
                <w:rFonts w:hint="eastAsia" w:ascii="仿宋" w:hAnsi="仿宋" w:eastAsia="仿宋"/>
                <w:bCs/>
                <w:color w:val="000000" w:themeColor="text1"/>
                <w:sz w:val="24"/>
                <w:szCs w:val="24"/>
                <w14:textFill>
                  <w14:solidFill>
                    <w14:schemeClr w14:val="tx1"/>
                  </w14:solidFill>
                </w14:textFill>
              </w:rPr>
              <w:t>100例</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主持护理查房/病例讨论</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不少于15例</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参与质量持续改进</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参与医院护理部一、二、三级质控或质量改善项目等不少于</w:t>
            </w:r>
            <w:r>
              <w:rPr>
                <w:rFonts w:hint="eastAsia" w:ascii="仿宋" w:hAnsi="仿宋" w:eastAsia="仿宋"/>
                <w:bCs/>
                <w:color w:val="000000" w:themeColor="text1"/>
                <w:sz w:val="24"/>
                <w:szCs w:val="24"/>
                <w14:textFill>
                  <w14:solidFill>
                    <w14:schemeClr w14:val="tx1"/>
                  </w14:solidFill>
                </w14:textFill>
              </w:rPr>
              <w:t>50次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参与医院护理部一、二、三级质控或质量改善项目等不少于</w:t>
            </w:r>
            <w:r>
              <w:rPr>
                <w:rFonts w:hint="eastAsia" w:ascii="仿宋" w:hAnsi="仿宋" w:eastAsia="仿宋"/>
                <w:bCs/>
                <w:color w:val="000000" w:themeColor="text1"/>
                <w:sz w:val="24"/>
                <w:szCs w:val="24"/>
                <w14:textFill>
                  <w14:solidFill>
                    <w14:schemeClr w14:val="tx1"/>
                  </w14:solidFill>
                </w14:textFill>
              </w:rPr>
              <w:t>60次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指导下级护理人员人数</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人次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不少于5人次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不少于10人次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护理授课次数</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不少于15次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bl>
    <w:p>
      <w:pPr>
        <w:pStyle w:val="5"/>
        <w:shd w:val="clear" w:color="auto" w:fill="FFFFFF"/>
        <w:spacing w:before="0" w:beforeAutospacing="0" w:after="0" w:afterAutospacing="0"/>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：工作量指标是中级晋升副高、副高晋升正高期间的完成工作量，均从聘任时间开始计算。</w:t>
      </w:r>
    </w:p>
    <w:p>
      <w:pPr>
        <w:widowControl/>
        <w:jc w:val="left"/>
        <w:rPr>
          <w:rFonts w:ascii="楷体" w:hAnsi="楷体" w:eastAsia="楷体"/>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r>
        <w:rPr>
          <w:rFonts w:ascii="楷体" w:hAnsi="楷体" w:eastAsia="楷体"/>
          <w:color w:val="000000" w:themeColor="text1"/>
          <w14:textFill>
            <w14:solidFill>
              <w14:schemeClr w14:val="tx1"/>
            </w14:solidFill>
          </w14:textFill>
        </w:rPr>
        <w:br w:type="page"/>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河南省</w:t>
      </w:r>
      <w:r>
        <w:rPr>
          <w:rFonts w:asciiTheme="majorEastAsia" w:hAnsiTheme="majorEastAsia" w:eastAsiaTheme="majorEastAsia"/>
          <w:color w:val="000000" w:themeColor="text1"/>
          <w:sz w:val="44"/>
          <w:szCs w:val="44"/>
          <w14:textFill>
            <w14:solidFill>
              <w14:schemeClr w14:val="tx1"/>
            </w14:solidFill>
          </w14:textFill>
        </w:rPr>
        <w:t>卫生系列高级职称申报评审条件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（药学类）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一、为了客观、公正、科学地评价卫生专业技术人员的能力与水平，建立完善考评结合的人才评价机制，促进全省卫生人才队伍整体素质的提高，推动卫生健康事业的发展，根据</w:t>
      </w:r>
      <w:r>
        <w:rPr>
          <w:rFonts w:hint="eastAsia" w:ascii="仿宋_GB2312" w:eastAsia="仿宋_GB2312" w:cs="仿宋_GB2312"/>
          <w:color w:val="000000" w:themeColor="text1"/>
          <w:kern w:val="0"/>
          <w:sz w:val="32"/>
          <w:szCs w:val="32"/>
          <w14:textFill>
            <w14:solidFill>
              <w14:schemeClr w14:val="tx1"/>
            </w14:solidFill>
          </w14:textFill>
        </w:rPr>
        <w:t>人力资源社会保障部、国家卫生健康委、国家中医药局《关于深</w:t>
      </w:r>
      <w:r>
        <w:rPr>
          <w:rFonts w:hint="eastAsia" w:ascii="仿宋" w:hAnsi="仿宋" w:eastAsia="仿宋" w:cs="仿宋_GB2312"/>
          <w:color w:val="000000" w:themeColor="text1"/>
          <w:kern w:val="0"/>
          <w:sz w:val="32"/>
          <w:szCs w:val="32"/>
          <w14:textFill>
            <w14:solidFill>
              <w14:schemeClr w14:val="tx1"/>
            </w14:solidFill>
          </w14:textFill>
        </w:rPr>
        <w:t>化卫生专业技术人员职称制度改革的指导意见》（人社部发〔</w:t>
      </w:r>
      <w:r>
        <w:rPr>
          <w:rFonts w:ascii="仿宋" w:hAnsi="仿宋" w:eastAsia="仿宋" w:cs="TimesNewRomanPSMT"/>
          <w:color w:val="000000" w:themeColor="text1"/>
          <w:kern w:val="0"/>
          <w:sz w:val="32"/>
          <w:szCs w:val="32"/>
          <w14:textFill>
            <w14:solidFill>
              <w14:schemeClr w14:val="tx1"/>
            </w14:solidFill>
          </w14:textFill>
        </w:rPr>
        <w:t>2021</w:t>
      </w:r>
      <w:r>
        <w:rPr>
          <w:rFonts w:hint="eastAsia" w:ascii="仿宋" w:hAnsi="仿宋" w:eastAsia="仿宋" w:cs="仿宋_GB2312"/>
          <w:color w:val="000000" w:themeColor="text1"/>
          <w:kern w:val="0"/>
          <w:sz w:val="32"/>
          <w:szCs w:val="32"/>
          <w14:textFill>
            <w14:solidFill>
              <w14:schemeClr w14:val="tx1"/>
            </w14:solidFill>
          </w14:textFill>
        </w:rPr>
        <w:t>〕</w:t>
      </w:r>
      <w:r>
        <w:rPr>
          <w:rFonts w:ascii="仿宋" w:hAnsi="仿宋" w:eastAsia="仿宋" w:cs="TimesNewRomanPSMT"/>
          <w:color w:val="000000" w:themeColor="text1"/>
          <w:kern w:val="0"/>
          <w:sz w:val="32"/>
          <w:szCs w:val="32"/>
          <w14:textFill>
            <w14:solidFill>
              <w14:schemeClr w14:val="tx1"/>
            </w14:solidFill>
          </w14:textFill>
        </w:rPr>
        <w:t xml:space="preserve">51 </w:t>
      </w:r>
      <w:r>
        <w:rPr>
          <w:rFonts w:hint="eastAsia" w:ascii="仿宋" w:hAnsi="仿宋" w:eastAsia="仿宋" w:cs="仿宋_GB2312"/>
          <w:color w:val="000000" w:themeColor="text1"/>
          <w:kern w:val="0"/>
          <w:sz w:val="32"/>
          <w:szCs w:val="32"/>
          <w14:textFill>
            <w14:solidFill>
              <w14:schemeClr w14:val="tx1"/>
            </w14:solidFill>
          </w14:textFill>
        </w:rPr>
        <w:t>号）和</w:t>
      </w:r>
      <w:r>
        <w:rPr>
          <w:rFonts w:hint="eastAsia" w:ascii="仿宋" w:hAnsi="仿宋" w:eastAsia="仿宋"/>
          <w:color w:val="000000" w:themeColor="text1"/>
          <w:sz w:val="32"/>
          <w:szCs w:val="32"/>
          <w14:textFill>
            <w14:solidFill>
              <w14:schemeClr w14:val="tx1"/>
            </w14:solidFill>
          </w14:textFill>
        </w:rPr>
        <w:t>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二、卫生系列药学类副高级职称的名称为副主任药师，正高级职称的名称为主任药师。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三、卫生系列药学类高级职称采取考试与评审相结合的方式。业务水平考试合格者方可报送评审材料，考试成绩三年有效。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为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五、本条件适用于全省各级各类医疗卫生机构中从事药学类专业的卫生专业技术人员。适用专业包括：药学、中药学、</w:t>
      </w:r>
      <w:r>
        <w:rPr>
          <w:rFonts w:hint="eastAsia" w:ascii="仿宋" w:hAnsi="仿宋" w:eastAsia="仿宋"/>
          <w:color w:val="auto"/>
          <w:sz w:val="32"/>
          <w:szCs w:val="32"/>
          <w:lang w:eastAsia="zh-CN"/>
        </w:rPr>
        <w:t>药物分析</w:t>
      </w:r>
      <w:r>
        <w:rPr>
          <w:rFonts w:hint="eastAsia" w:ascii="仿宋" w:hAnsi="仿宋" w:eastAsia="仿宋"/>
          <w:color w:val="auto"/>
          <w:sz w:val="32"/>
          <w:szCs w:val="32"/>
        </w:rPr>
        <w:t>。</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1.申报副主任药师职称，需具备相应专业大学本科及以上学历或学士及以上学位，受聘担任主管药师职务满5年。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2.申报主任医师职称，需具备相应专业大学本科及以上学历或学士及以上学位，受聘担任副主任医师职务满5年。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完成健康科普工作要求。开展健康科普知识宣讲，每年不少于2次；或者在各级主流媒体、省级以上行业报刊，发表健康科普文章、音视频作品，每年不少于1篇（条）；或者在各级卫生健康部门和县级以上医疗机构等新媒体平台，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（六）任现职以来完成规定的工作量要求（药学专业见附表1，中药学专业见附表2）。</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能够参与制定药物治疗方案，对临床用药结果做出准确分析，能及时发现并处理处方和医嘱中出现的各种不合理用药现象，及时提出临床用药调整意见。具有指导下级药师的能力，有带教2名药学专业技术人员的经历。其中，中药专业还应具备中药验收、保管、调剂、临方炮制、煎煮等中药药学服务能力，能够提供中药药物咨询服务，具有中药处方点评工作能力，提供合理使用中药建议。</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药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药师的能力，有培养2名主管药师的经历。其中，中药专业还应具备中药验收、保管、调剂、临方炮制、煎煮等中药药学服务能力，能够提供中药药物咨询服务，具有中药处方点评工作能力，提供合理使用中药建议。</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工作业绩实行成果代表作制度。申报人员应提交任现职以来代表个人专业技术能力和水平的标志性工作业绩2项以上（第1项为必备）。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药品调剂服务、药品质量管理、药品合理使用、用药监测、医院制剂质量改进等环节复杂问题形成的新技术应用案例，成功实施的流程改造案例，合理用药分析报告、疑难病例讨论、会诊案例、个体化用药案例，用药监测、超常预警、不良反应、用药错误、药品损害时间监测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篇（不少于2500字）；在省属医疗卫生机构工作的人员，</w:t>
      </w:r>
      <w:r>
        <w:rPr>
          <w:rFonts w:hint="eastAsia" w:ascii="仿宋" w:hAnsi="仿宋" w:eastAsia="仿宋"/>
          <w:color w:val="000000" w:themeColor="text1"/>
          <w:sz w:val="32"/>
          <w:szCs w:val="32"/>
          <w:lang w:eastAsia="zh-CN"/>
          <w14:textFill>
            <w14:solidFill>
              <w14:schemeClr w14:val="tx1"/>
            </w14:solidFill>
          </w14:textFill>
        </w:rPr>
        <w:t>至少有一篇</w:t>
      </w:r>
      <w:r>
        <w:rPr>
          <w:rFonts w:hint="eastAsia" w:ascii="仿宋" w:hAnsi="仿宋" w:eastAsia="仿宋"/>
          <w:color w:val="000000" w:themeColor="text1"/>
          <w:sz w:val="32"/>
          <w:szCs w:val="32"/>
          <w14:textFill>
            <w14:solidFill>
              <w14:schemeClr w14:val="tx1"/>
            </w14:solidFill>
          </w14:textFill>
        </w:rPr>
        <w:t>发表在二类以上学术期刊上。须附相关原始资料。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（4）获本专业省辖市（厅）级二等以上科技进步奖、科技成果奖（限前5名）；或获本专业省辖市（厅）级三等以上科技进步奖、科技成果奖（限前3名）。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（5）参与研究并形成的省级及以上技术规范、卫生标准、临床指南或专家共识1项（限前5名）。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auto"/>
          <w:sz w:val="32"/>
          <w:szCs w:val="32"/>
        </w:rPr>
      </w:pPr>
      <w:r>
        <w:rPr>
          <w:rFonts w:hint="eastAsia" w:ascii="仿宋" w:hAnsi="仿宋" w:eastAsia="仿宋"/>
          <w:color w:val="auto"/>
          <w:sz w:val="32"/>
          <w:szCs w:val="32"/>
        </w:rPr>
        <w:t>（7）参与医院制剂研发并取得生产许可的医疗机构新制剂注册批件/备案号或获得新药临床试验许可或新药生产批件。</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熟练解决药品调剂、药品管理、药品合理使用、用药监测、医院制剂质量改进等环节复杂问题形成的高质量提升药事质控指标案例，新技术应用案例，成功实施的流程改造案例，个体化用药案例、疑难病例讨论、合理用药分析报告、会诊案例，用药检测、超常预警、不良反应、用药错误、药品损害事件监测报告；推进药事管理、信息化管理等形成的报告；主持制定的医疗机构药事管理制度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（2）主持完成市（厅）级以上科研课题1项，课题经费不少于2万元（限第1名）。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（3）结合本专业临床实践，在二类以上推荐学术期刊上发表的本专业论文2篇（不少于2500字）。须附相关原始临床资料。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（4）获本专业省辖市（厅）级二等以上科技进步奖、科技成果奖（限前3名）；或获本专业省辖市（厅）级三等以上科技进步奖、科技成果奖（限前1名）。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（6）吸取新理论、新知识、新技术形成的与本专业相关的发明专利2项（限第1原始发明人）,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auto"/>
          <w:sz w:val="32"/>
          <w:szCs w:val="32"/>
        </w:rPr>
      </w:pPr>
      <w:r>
        <w:rPr>
          <w:rFonts w:hint="eastAsia" w:ascii="仿宋" w:hAnsi="仿宋" w:eastAsia="仿宋"/>
          <w:color w:val="auto"/>
          <w:sz w:val="32"/>
          <w:szCs w:val="32"/>
        </w:rPr>
        <w:t>（7）主持或主要参与研发并取得生产许可的医疗机构新制剂批件/备案号或获得新药临床试验许可或新药生产批件或成为临床试验项目负责人，并提供材料证明个人在项目中所承担的工作。</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药学专业技术人员在任期内须每年向单位提交本人在实际工作中解决本专业复杂疑难问题或运用新知识、新技术、新成果开展业务工作的专题报告5份（每份2000字以上），并附相关原始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八、本条件自  年  月  日起施行。</w:t>
      </w:r>
    </w:p>
    <w:p>
      <w:pPr>
        <w:widowControl/>
        <w:jc w:val="left"/>
        <w:rPr>
          <w:rFonts w:ascii="楷体" w:hAnsi="楷体" w:eastAsia="楷体"/>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ascii="仿宋" w:hAnsi="仿宋" w:eastAsia="仿宋"/>
          <w:color w:val="000000" w:themeColor="text1"/>
          <w:sz w:val="32"/>
          <w:szCs w:val="32"/>
          <w14:textFill>
            <w14:solidFill>
              <w14:schemeClr w14:val="tx1"/>
            </w14:solidFill>
          </w14:textFill>
        </w:rPr>
        <w:br w:type="page"/>
      </w:r>
    </w:p>
    <w:p>
      <w:pPr>
        <w:spacing w:after="120" w:afterLines="5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1</w:t>
      </w:r>
    </w:p>
    <w:p>
      <w:pPr>
        <w:tabs>
          <w:tab w:val="left" w:pos="795"/>
        </w:tabs>
        <w:spacing w:before="12" w:after="120" w:afterLines="50"/>
        <w:jc w:val="center"/>
        <w:rPr>
          <w:rFonts w:asciiTheme="minorEastAsia" w:hAnsiTheme="minorEastAsia"/>
          <w:color w:val="000000" w:themeColor="text1"/>
          <w:sz w:val="44"/>
          <w:szCs w:val="44"/>
          <w14:textFill>
            <w14:solidFill>
              <w14:schemeClr w14:val="tx1"/>
            </w14:solidFill>
          </w14:textFill>
        </w:rPr>
      </w:pPr>
      <w:r>
        <w:rPr>
          <w:rFonts w:cs="LinTimes" w:asciiTheme="minorEastAsia" w:hAnsiTheme="minorEastAsia"/>
          <w:color w:val="000000" w:themeColor="text1"/>
          <w:kern w:val="0"/>
          <w:sz w:val="44"/>
          <w:szCs w:val="44"/>
          <w:lang w:bidi="ar"/>
          <w14:textFill>
            <w14:solidFill>
              <w14:schemeClr w14:val="tx1"/>
            </w14:solidFill>
          </w14:textFill>
        </w:rPr>
        <w:t>药学专业晋升高级职称工作量要求</w:t>
      </w:r>
    </w:p>
    <w:tbl>
      <w:tblPr>
        <w:tblStyle w:val="8"/>
        <w:tblW w:w="1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4997"/>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vAlign w:val="center"/>
          </w:tcPr>
          <w:p>
            <w:pPr>
              <w:widowControl/>
              <w:jc w:val="center"/>
              <w:rPr>
                <w:rFonts w:ascii="黑体" w:hAnsi="黑体" w:eastAsia="黑体"/>
                <w:b w:val="0"/>
                <w:bCs w:val="0"/>
                <w:color w:val="000000" w:themeColor="text1"/>
                <w:sz w:val="24"/>
                <w:szCs w:val="24"/>
                <w14:textFill>
                  <w14:solidFill>
                    <w14:schemeClr w14:val="tx1"/>
                  </w14:solidFill>
                </w14:textFill>
              </w:rPr>
            </w:pPr>
            <w:r>
              <w:rPr>
                <w:rFonts w:ascii="黑体" w:hAnsi="黑体" w:eastAsia="黑体"/>
                <w:b w:val="0"/>
                <w:bCs w:val="0"/>
                <w:color w:val="000000" w:themeColor="text1"/>
                <w:sz w:val="24"/>
                <w:szCs w:val="24"/>
                <w14:textFill>
                  <w14:solidFill>
                    <w14:schemeClr w14:val="tx1"/>
                  </w14:solidFill>
                </w14:textFill>
              </w:rPr>
              <w:t>评价项目</w:t>
            </w:r>
          </w:p>
        </w:tc>
        <w:tc>
          <w:tcPr>
            <w:tcW w:w="993" w:type="dxa"/>
            <w:vAlign w:val="center"/>
          </w:tcPr>
          <w:p>
            <w:pPr>
              <w:widowControl/>
              <w:jc w:val="center"/>
              <w:rPr>
                <w:rFonts w:ascii="黑体" w:hAnsi="黑体" w:eastAsia="黑体"/>
                <w:b w:val="0"/>
                <w:bCs w:val="0"/>
                <w:color w:val="000000" w:themeColor="text1"/>
                <w:sz w:val="24"/>
                <w:szCs w:val="24"/>
                <w14:textFill>
                  <w14:solidFill>
                    <w14:schemeClr w14:val="tx1"/>
                  </w14:solidFill>
                </w14:textFill>
              </w:rPr>
            </w:pPr>
            <w:r>
              <w:rPr>
                <w:rFonts w:ascii="黑体" w:hAnsi="黑体" w:eastAsia="黑体"/>
                <w:b w:val="0"/>
                <w:bCs w:val="0"/>
                <w:color w:val="000000" w:themeColor="text1"/>
                <w:sz w:val="24"/>
                <w:szCs w:val="24"/>
                <w14:textFill>
                  <w14:solidFill>
                    <w14:schemeClr w14:val="tx1"/>
                  </w14:solidFill>
                </w14:textFill>
              </w:rPr>
              <w:t>单位</w:t>
            </w:r>
          </w:p>
        </w:tc>
        <w:tc>
          <w:tcPr>
            <w:tcW w:w="4997" w:type="dxa"/>
            <w:vAlign w:val="center"/>
          </w:tcPr>
          <w:p>
            <w:pPr>
              <w:widowControl/>
              <w:jc w:val="center"/>
              <w:rPr>
                <w:rFonts w:ascii="黑体" w:hAnsi="黑体" w:eastAsia="黑体"/>
                <w:b w:val="0"/>
                <w:bCs w:val="0"/>
                <w:color w:val="000000" w:themeColor="text1"/>
                <w:sz w:val="24"/>
                <w:szCs w:val="24"/>
                <w14:textFill>
                  <w14:solidFill>
                    <w14:schemeClr w14:val="tx1"/>
                  </w14:solidFill>
                </w14:textFill>
              </w:rPr>
            </w:pPr>
            <w:r>
              <w:rPr>
                <w:rFonts w:ascii="黑体" w:hAnsi="黑体" w:eastAsia="黑体"/>
                <w:b w:val="0"/>
                <w:bCs w:val="0"/>
                <w:color w:val="000000" w:themeColor="text1"/>
                <w:sz w:val="24"/>
                <w:szCs w:val="24"/>
                <w14:textFill>
                  <w14:solidFill>
                    <w14:schemeClr w14:val="tx1"/>
                  </w14:solidFill>
                </w14:textFill>
              </w:rPr>
              <w:t>晋升副主任药师</w:t>
            </w:r>
          </w:p>
        </w:tc>
        <w:tc>
          <w:tcPr>
            <w:tcW w:w="5561" w:type="dxa"/>
            <w:vAlign w:val="center"/>
          </w:tcPr>
          <w:p>
            <w:pPr>
              <w:widowControl/>
              <w:jc w:val="center"/>
              <w:rPr>
                <w:rFonts w:ascii="黑体" w:hAnsi="黑体" w:eastAsia="黑体"/>
                <w:b w:val="0"/>
                <w:bCs w:val="0"/>
                <w:color w:val="000000" w:themeColor="text1"/>
                <w:sz w:val="24"/>
                <w:szCs w:val="24"/>
                <w14:textFill>
                  <w14:solidFill>
                    <w14:schemeClr w14:val="tx1"/>
                  </w14:solidFill>
                </w14:textFill>
              </w:rPr>
            </w:pPr>
            <w:r>
              <w:rPr>
                <w:rFonts w:ascii="黑体" w:hAnsi="黑体" w:eastAsia="黑体"/>
                <w:b w:val="0"/>
                <w:bCs w:val="0"/>
                <w:color w:val="000000" w:themeColor="text1"/>
                <w:sz w:val="24"/>
                <w:szCs w:val="24"/>
                <w14:textFill>
                  <w14:solidFill>
                    <w14:schemeClr w14:val="tx1"/>
                  </w14:solidFill>
                </w14:textFill>
              </w:rPr>
              <w:t>晋升主任药师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98" w:line="252" w:lineRule="auto"/>
              <w:ind w:right="107"/>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专业工作时间</w:t>
            </w:r>
          </w:p>
        </w:tc>
        <w:tc>
          <w:tcPr>
            <w:tcW w:w="993" w:type="dxa"/>
            <w:vAlign w:val="center"/>
          </w:tcPr>
          <w:p>
            <w:pPr>
              <w:pStyle w:val="13"/>
              <w:tabs>
                <w:tab w:val="left" w:pos="4180"/>
              </w:tabs>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周</w:t>
            </w:r>
          </w:p>
        </w:tc>
        <w:tc>
          <w:tcPr>
            <w:tcW w:w="4997" w:type="dxa"/>
            <w:vAlign w:val="center"/>
          </w:tcPr>
          <w:p>
            <w:pPr>
              <w:pStyle w:val="13"/>
              <w:tabs>
                <w:tab w:val="left" w:pos="4180"/>
              </w:tabs>
              <w:spacing w:before="198" w:line="252" w:lineRule="auto"/>
              <w:ind w:right="3"/>
              <w:jc w:val="both"/>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担任主管药师职务期间</w:t>
            </w:r>
            <w:r>
              <w:rPr>
                <w:rFonts w:hint="eastAsia" w:ascii="仿宋" w:hAnsi="仿宋" w:eastAsia="仿宋"/>
                <w:b w:val="0"/>
                <w:bCs w:val="0"/>
                <w:color w:val="000000" w:themeColor="text1"/>
                <w:sz w:val="24"/>
                <w:szCs w:val="24"/>
                <w14:textFill>
                  <w14:solidFill>
                    <w14:schemeClr w14:val="tx1"/>
                  </w14:solidFill>
                </w14:textFill>
              </w:rPr>
              <w:t>，</w:t>
            </w:r>
            <w:r>
              <w:rPr>
                <w:rFonts w:ascii="仿宋" w:hAnsi="仿宋" w:eastAsia="仿宋"/>
                <w:b w:val="0"/>
                <w:bCs w:val="0"/>
                <w:color w:val="000000" w:themeColor="text1"/>
                <w:sz w:val="24"/>
                <w:szCs w:val="24"/>
                <w14:textFill>
                  <w14:solidFill>
                    <w14:schemeClr w14:val="tx1"/>
                  </w14:solidFill>
                </w14:textFill>
              </w:rPr>
              <w:t>平均每年参加药学专业工作时间不少于</w:t>
            </w:r>
            <w:r>
              <w:rPr>
                <w:rFonts w:hint="eastAsia" w:ascii="仿宋" w:hAnsi="仿宋" w:eastAsia="仿宋"/>
                <w:b w:val="0"/>
                <w:bCs w:val="0"/>
                <w:color w:val="000000" w:themeColor="text1"/>
                <w:sz w:val="24"/>
                <w:szCs w:val="24"/>
                <w14:textFill>
                  <w14:solidFill>
                    <w14:schemeClr w14:val="tx1"/>
                  </w14:solidFill>
                </w14:textFill>
              </w:rPr>
              <w:t>40周</w:t>
            </w:r>
          </w:p>
        </w:tc>
        <w:tc>
          <w:tcPr>
            <w:tcW w:w="5561" w:type="dxa"/>
            <w:vAlign w:val="center"/>
          </w:tcPr>
          <w:p>
            <w:pPr>
              <w:pStyle w:val="13"/>
              <w:tabs>
                <w:tab w:val="left" w:pos="4180"/>
              </w:tabs>
              <w:spacing w:before="198" w:line="252" w:lineRule="auto"/>
              <w:ind w:right="3"/>
              <w:jc w:val="both"/>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担任副主任药师职务期间</w:t>
            </w:r>
            <w:r>
              <w:rPr>
                <w:rFonts w:hint="eastAsia" w:ascii="仿宋" w:hAnsi="仿宋" w:eastAsia="仿宋"/>
                <w:b w:val="0"/>
                <w:bCs w:val="0"/>
                <w:color w:val="000000" w:themeColor="text1"/>
                <w:sz w:val="24"/>
                <w:szCs w:val="24"/>
                <w14:textFill>
                  <w14:solidFill>
                    <w14:schemeClr w14:val="tx1"/>
                  </w14:solidFill>
                </w14:textFill>
              </w:rPr>
              <w:t>，平均每年参加药学专业工作时间不少于35周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809" w:type="dxa"/>
            <w:vAlign w:val="center"/>
          </w:tcPr>
          <w:p>
            <w:pPr>
              <w:pStyle w:val="13"/>
              <w:tabs>
                <w:tab w:val="left" w:pos="4180"/>
              </w:tabs>
              <w:spacing w:before="135" w:line="249" w:lineRule="auto"/>
              <w:ind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调配处方</w:t>
            </w:r>
            <w:r>
              <w:rPr>
                <w:rFonts w:ascii="仿宋" w:hAnsi="仿宋" w:eastAsia="仿宋" w:cs="Times New Roman"/>
                <w:b w:val="0"/>
                <w:bCs w:val="0"/>
                <w:color w:val="000000" w:themeColor="text1"/>
                <w:sz w:val="24"/>
                <w:szCs w:val="24"/>
                <w14:textFill>
                  <w14:solidFill>
                    <w14:schemeClr w14:val="tx1"/>
                  </w14:solidFill>
                </w14:textFill>
              </w:rPr>
              <w:t>/</w:t>
            </w:r>
            <w:r>
              <w:rPr>
                <w:rFonts w:hint="eastAsia" w:ascii="仿宋" w:hAnsi="仿宋" w:eastAsia="仿宋"/>
                <w:b w:val="0"/>
                <w:bCs w:val="0"/>
                <w:color w:val="000000" w:themeColor="text1"/>
                <w:sz w:val="24"/>
                <w:szCs w:val="24"/>
                <w14:textFill>
                  <w14:solidFill>
                    <w14:schemeClr w14:val="tx1"/>
                  </w14:solidFill>
                </w14:textFill>
              </w:rPr>
              <w:t>医嘱数量</w:t>
            </w:r>
          </w:p>
        </w:tc>
        <w:tc>
          <w:tcPr>
            <w:tcW w:w="993" w:type="dxa"/>
            <w:vAlign w:val="center"/>
          </w:tcPr>
          <w:p>
            <w:pPr>
              <w:pStyle w:val="13"/>
              <w:tabs>
                <w:tab w:val="left" w:pos="4180"/>
              </w:tabs>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张/条</w:t>
            </w:r>
          </w:p>
        </w:tc>
        <w:tc>
          <w:tcPr>
            <w:tcW w:w="4997" w:type="dxa"/>
            <w:vAlign w:val="center"/>
          </w:tcPr>
          <w:p>
            <w:pPr>
              <w:pStyle w:val="13"/>
              <w:tabs>
                <w:tab w:val="left" w:pos="4180"/>
              </w:tabs>
              <w:spacing w:before="135"/>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晋升周期内调配处方（包括审方、调配、复核/发药环节）数量不少于10万张或住院医嘱不少于20万条</w:t>
            </w:r>
          </w:p>
        </w:tc>
        <w:tc>
          <w:tcPr>
            <w:tcW w:w="5561" w:type="dxa"/>
            <w:vAlign w:val="center"/>
          </w:tcPr>
          <w:p>
            <w:pPr>
              <w:pStyle w:val="13"/>
              <w:tabs>
                <w:tab w:val="left" w:pos="4180"/>
              </w:tabs>
              <w:spacing w:before="135"/>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晋升周期内调配处方（包括审方、调配、复核/发药环节）数量不少于8万张或住院医嘱不少于15万条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 w:line="252"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处方/医嘱点评数量</w:t>
            </w:r>
          </w:p>
        </w:tc>
        <w:tc>
          <w:tcPr>
            <w:tcW w:w="993" w:type="dxa"/>
            <w:vAlign w:val="center"/>
          </w:tcPr>
          <w:p>
            <w:pPr>
              <w:pStyle w:val="13"/>
              <w:tabs>
                <w:tab w:val="left" w:pos="4180"/>
              </w:tabs>
              <w:spacing w:before="1"/>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张/份</w:t>
            </w:r>
          </w:p>
        </w:tc>
        <w:tc>
          <w:tcPr>
            <w:tcW w:w="4997" w:type="dxa"/>
            <w:vAlign w:val="center"/>
          </w:tcPr>
          <w:p>
            <w:pPr>
              <w:pStyle w:val="13"/>
              <w:tabs>
                <w:tab w:val="left" w:pos="4180"/>
              </w:tabs>
              <w:spacing w:before="1"/>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晋升周期内点评不少于1万张门急诊处方；或晋升周期内点评不少于1500份住院医嘱</w:t>
            </w:r>
          </w:p>
        </w:tc>
        <w:tc>
          <w:tcPr>
            <w:tcW w:w="5561" w:type="dxa"/>
            <w:vAlign w:val="center"/>
          </w:tcPr>
          <w:p>
            <w:pPr>
              <w:pStyle w:val="13"/>
              <w:tabs>
                <w:tab w:val="left" w:pos="4180"/>
              </w:tabs>
              <w:spacing w:before="1"/>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晋升周期内点评不少于1万张门诊处方；或晋升周期内点评不少于1500份住院医嘱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809" w:type="dxa"/>
            <w:vAlign w:val="center"/>
          </w:tcPr>
          <w:p>
            <w:pPr>
              <w:pStyle w:val="13"/>
              <w:tabs>
                <w:tab w:val="left" w:pos="4180"/>
              </w:tabs>
              <w:spacing w:before="170"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药学门诊数量</w:t>
            </w:r>
          </w:p>
        </w:tc>
        <w:tc>
          <w:tcPr>
            <w:tcW w:w="993" w:type="dxa"/>
            <w:vAlign w:val="center"/>
          </w:tcPr>
          <w:p>
            <w:pPr>
              <w:pStyle w:val="13"/>
              <w:tabs>
                <w:tab w:val="left" w:pos="4180"/>
              </w:tabs>
              <w:spacing w:before="9" w:line="249" w:lineRule="auto"/>
              <w:ind w:right="13"/>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单元</w:t>
            </w:r>
          </w:p>
        </w:tc>
        <w:tc>
          <w:tcPr>
            <w:tcW w:w="4997" w:type="dxa"/>
            <w:vAlign w:val="center"/>
          </w:tcPr>
          <w:p>
            <w:pPr>
              <w:pStyle w:val="13"/>
              <w:tabs>
                <w:tab w:val="left" w:pos="4180"/>
              </w:tabs>
              <w:spacing w:before="9" w:line="249" w:lineRule="auto"/>
              <w:ind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晋升周期内药学门诊不少于200个单元</w:t>
            </w:r>
          </w:p>
        </w:tc>
        <w:tc>
          <w:tcPr>
            <w:tcW w:w="5561" w:type="dxa"/>
            <w:vAlign w:val="center"/>
          </w:tcPr>
          <w:p>
            <w:pPr>
              <w:pStyle w:val="13"/>
              <w:tabs>
                <w:tab w:val="left" w:pos="373"/>
                <w:tab w:val="left" w:pos="4180"/>
              </w:tabs>
              <w:spacing w:before="14"/>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晋升周期内药学门诊不少于200个单元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70"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药物重整数量及药学监护数量</w:t>
            </w:r>
          </w:p>
        </w:tc>
        <w:tc>
          <w:tcPr>
            <w:tcW w:w="993" w:type="dxa"/>
            <w:vAlign w:val="center"/>
          </w:tcPr>
          <w:p>
            <w:pPr>
              <w:pStyle w:val="13"/>
              <w:tabs>
                <w:tab w:val="left" w:pos="4180"/>
              </w:tabs>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例</w:t>
            </w:r>
          </w:p>
        </w:tc>
        <w:tc>
          <w:tcPr>
            <w:tcW w:w="4997" w:type="dxa"/>
            <w:vAlign w:val="center"/>
          </w:tcPr>
          <w:p>
            <w:pPr>
              <w:pStyle w:val="13"/>
              <w:tabs>
                <w:tab w:val="left" w:pos="4180"/>
              </w:tabs>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晋升周期内实施药物重整的人次数不少于200例，并实施药学监护的人次数不少于150例</w:t>
            </w:r>
          </w:p>
        </w:tc>
        <w:tc>
          <w:tcPr>
            <w:tcW w:w="5561" w:type="dxa"/>
            <w:vAlign w:val="center"/>
          </w:tcPr>
          <w:p>
            <w:pPr>
              <w:pStyle w:val="13"/>
              <w:tabs>
                <w:tab w:val="left" w:pos="4180"/>
              </w:tabs>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晋升周期内实施药物重整的人次数不少于200例，并实施药学监护的人次数不少于150例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70" w:line="249" w:lineRule="auto"/>
              <w:ind w:right="107"/>
              <w:jc w:val="center"/>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静脉药物配置数量</w:t>
            </w:r>
          </w:p>
        </w:tc>
        <w:tc>
          <w:tcPr>
            <w:tcW w:w="993" w:type="dxa"/>
            <w:vAlign w:val="center"/>
          </w:tcPr>
          <w:p>
            <w:pPr>
              <w:pStyle w:val="13"/>
              <w:spacing w:before="164"/>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袋</w:t>
            </w:r>
          </w:p>
        </w:tc>
        <w:tc>
          <w:tcPr>
            <w:tcW w:w="4997" w:type="dxa"/>
            <w:vAlign w:val="center"/>
          </w:tcPr>
          <w:p>
            <w:pPr>
              <w:pStyle w:val="1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晋升周期内参与（包括审方、摆药、调配、复核环节）静脉药物配置数量不少于10万袋</w:t>
            </w:r>
          </w:p>
        </w:tc>
        <w:tc>
          <w:tcPr>
            <w:tcW w:w="5561" w:type="dxa"/>
            <w:vAlign w:val="center"/>
          </w:tcPr>
          <w:p>
            <w:pPr>
              <w:pStyle w:val="1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晋升周期内参与（包括审方、摆药、调配、复核环节）静脉药物配置数量不少于8万袋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55" w:line="249" w:lineRule="auto"/>
              <w:ind w:right="22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院制剂数量</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批次/支、盒、包、袋</w:t>
            </w:r>
          </w:p>
        </w:tc>
        <w:tc>
          <w:tcPr>
            <w:tcW w:w="4997" w:type="dxa"/>
            <w:vAlign w:val="center"/>
          </w:tcPr>
          <w:p>
            <w:pPr>
              <w:pStyle w:val="13"/>
              <w:spacing w:before="155"/>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晋升周期内参与医院制剂生产、质控、检验（环节之一）不少于120批次，或不少于5万瓶（支、盒、包、袋）</w:t>
            </w:r>
          </w:p>
        </w:tc>
        <w:tc>
          <w:tcPr>
            <w:tcW w:w="5561" w:type="dxa"/>
            <w:vAlign w:val="center"/>
          </w:tcPr>
          <w:p>
            <w:pPr>
              <w:pStyle w:val="13"/>
              <w:spacing w:before="155"/>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晋升周期内参与医院制剂生产、质控、检验（环节之一）不少于100批次，或不少于4万瓶（支、盒、包、袋）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用药监测</w:t>
            </w:r>
          </w:p>
          <w:p>
            <w:pPr>
              <w:pStyle w:val="13"/>
              <w:spacing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（药品不良反应监测/用药错误/ 药品损害事件监</w:t>
            </w:r>
          </w:p>
          <w:p>
            <w:pPr>
              <w:pStyle w:val="13"/>
              <w:spacing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测）</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例</w:t>
            </w:r>
          </w:p>
        </w:tc>
        <w:tc>
          <w:tcPr>
            <w:tcW w:w="4997" w:type="dxa"/>
            <w:vAlign w:val="center"/>
          </w:tcPr>
          <w:p>
            <w:pPr>
              <w:pStyle w:val="1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晋升周期内向国家药品不良反应监测中心上报药品不良反应不少于30例;或晋升周期内向医疗机构或上级相关部门上报用药错误/药品损害事件不少于30例；或向医疗机构或上级相关部门报告药品质量事件30例</w:t>
            </w:r>
          </w:p>
        </w:tc>
        <w:tc>
          <w:tcPr>
            <w:tcW w:w="5561" w:type="dxa"/>
            <w:vAlign w:val="center"/>
          </w:tcPr>
          <w:p>
            <w:pPr>
              <w:pStyle w:val="12"/>
              <w:jc w:val="both"/>
              <w:rPr>
                <w:rFonts w:ascii="仿宋" w:hAnsi="仿宋" w:eastAsia="仿宋"/>
                <w:b w:val="0"/>
                <w:bCs w:val="0"/>
                <w:color w:val="000000" w:themeColor="text1"/>
                <w:lang w:bidi="zh-CN"/>
                <w14:textFill>
                  <w14:solidFill>
                    <w14:schemeClr w14:val="tx1"/>
                  </w14:solidFill>
                </w14:textFill>
              </w:rPr>
            </w:pPr>
            <w:r>
              <w:rPr>
                <w:rFonts w:hint="eastAsia" w:ascii="仿宋" w:hAnsi="仿宋" w:eastAsia="仿宋"/>
                <w:b w:val="0"/>
                <w:bCs w:val="0"/>
                <w:color w:val="000000" w:themeColor="text1"/>
                <w:lang w:bidi="zh-CN"/>
                <w14:textFill>
                  <w14:solidFill>
                    <w14:schemeClr w14:val="tx1"/>
                  </w14:solidFill>
                </w14:textFill>
              </w:rPr>
              <w:t>晋升周期内向国家药品不良反应监测中心上报药品不良反应不少于</w:t>
            </w:r>
            <w:r>
              <w:rPr>
                <w:rFonts w:ascii="仿宋" w:hAnsi="仿宋" w:eastAsia="仿宋"/>
                <w:b w:val="0"/>
                <w:bCs w:val="0"/>
                <w:color w:val="000000" w:themeColor="text1"/>
                <w:lang w:bidi="zh-CN"/>
                <w14:textFill>
                  <w14:solidFill>
                    <w14:schemeClr w14:val="tx1"/>
                  </w14:solidFill>
                </w14:textFill>
              </w:rPr>
              <w:t>25</w:t>
            </w:r>
            <w:r>
              <w:rPr>
                <w:rFonts w:hint="eastAsia" w:ascii="仿宋" w:hAnsi="仿宋" w:eastAsia="仿宋"/>
                <w:b w:val="0"/>
                <w:bCs w:val="0"/>
                <w:color w:val="000000" w:themeColor="text1"/>
                <w:lang w:bidi="zh-CN"/>
                <w14:textFill>
                  <w14:solidFill>
                    <w14:schemeClr w14:val="tx1"/>
                  </w14:solidFill>
                </w14:textFill>
              </w:rPr>
              <w:t>例</w:t>
            </w:r>
            <w:r>
              <w:rPr>
                <w:rFonts w:ascii="仿宋" w:hAnsi="仿宋" w:eastAsia="仿宋"/>
                <w:b w:val="0"/>
                <w:bCs w:val="0"/>
                <w:color w:val="000000" w:themeColor="text1"/>
                <w:lang w:bidi="zh-CN"/>
                <w14:textFill>
                  <w14:solidFill>
                    <w14:schemeClr w14:val="tx1"/>
                  </w14:solidFill>
                </w14:textFill>
              </w:rPr>
              <w:t>;</w:t>
            </w:r>
            <w:r>
              <w:rPr>
                <w:rFonts w:hint="eastAsia" w:ascii="仿宋" w:hAnsi="仿宋" w:eastAsia="仿宋"/>
                <w:b w:val="0"/>
                <w:bCs w:val="0"/>
                <w:color w:val="000000" w:themeColor="text1"/>
                <w:lang w:bidi="zh-CN"/>
                <w14:textFill>
                  <w14:solidFill>
                    <w14:schemeClr w14:val="tx1"/>
                  </w14:solidFill>
                </w14:textFill>
              </w:rPr>
              <w:t>或晋升周期内向医疗机构或上级相关部门上报用药错误</w:t>
            </w:r>
            <w:r>
              <w:rPr>
                <w:rFonts w:ascii="仿宋" w:hAnsi="仿宋" w:eastAsia="仿宋"/>
                <w:b w:val="0"/>
                <w:bCs w:val="0"/>
                <w:color w:val="000000" w:themeColor="text1"/>
                <w:lang w:bidi="zh-CN"/>
                <w14:textFill>
                  <w14:solidFill>
                    <w14:schemeClr w14:val="tx1"/>
                  </w14:solidFill>
                </w14:textFill>
              </w:rPr>
              <w:t xml:space="preserve">/ </w:t>
            </w:r>
            <w:r>
              <w:rPr>
                <w:rFonts w:hint="eastAsia" w:ascii="仿宋" w:hAnsi="仿宋" w:eastAsia="仿宋"/>
                <w:b w:val="0"/>
                <w:bCs w:val="0"/>
                <w:color w:val="000000" w:themeColor="text1"/>
                <w:lang w:bidi="zh-CN"/>
                <w14:textFill>
                  <w14:solidFill>
                    <w14:schemeClr w14:val="tx1"/>
                  </w14:solidFill>
                </w14:textFill>
              </w:rPr>
              <w:t>药品损害事件不少于</w:t>
            </w:r>
            <w:r>
              <w:rPr>
                <w:rFonts w:ascii="仿宋" w:hAnsi="仿宋" w:eastAsia="仿宋"/>
                <w:b w:val="0"/>
                <w:bCs w:val="0"/>
                <w:color w:val="000000" w:themeColor="text1"/>
                <w:lang w:bidi="zh-CN"/>
                <w14:textFill>
                  <w14:solidFill>
                    <w14:schemeClr w14:val="tx1"/>
                  </w14:solidFill>
                </w14:textFill>
              </w:rPr>
              <w:t>25</w:t>
            </w:r>
            <w:r>
              <w:rPr>
                <w:rFonts w:hint="eastAsia" w:ascii="仿宋" w:hAnsi="仿宋" w:eastAsia="仿宋"/>
                <w:b w:val="0"/>
                <w:bCs w:val="0"/>
                <w:color w:val="000000" w:themeColor="text1"/>
                <w:lang w:bidi="zh-CN"/>
                <w14:textFill>
                  <w14:solidFill>
                    <w14:schemeClr w14:val="tx1"/>
                  </w14:solidFill>
                </w14:textFill>
              </w:rPr>
              <w:t>例；或向医疗机构或上级相关部门报告药品质量事件</w:t>
            </w:r>
            <w:r>
              <w:rPr>
                <w:rFonts w:ascii="仿宋" w:hAnsi="仿宋" w:eastAsia="仿宋"/>
                <w:b w:val="0"/>
                <w:bCs w:val="0"/>
                <w:color w:val="000000" w:themeColor="text1"/>
                <w:lang w:bidi="zh-CN"/>
                <w14:textFill>
                  <w14:solidFill>
                    <w14:schemeClr w14:val="tx1"/>
                  </w14:solidFill>
                </w14:textFill>
              </w:rPr>
              <w:t>25</w:t>
            </w:r>
            <w:r>
              <w:rPr>
                <w:rFonts w:hint="eastAsia" w:ascii="仿宋" w:hAnsi="仿宋" w:eastAsia="仿宋"/>
                <w:b w:val="0"/>
                <w:bCs w:val="0"/>
                <w:color w:val="000000" w:themeColor="text1"/>
                <w:lang w:bidi="zh-CN"/>
                <w14:textFill>
                  <w14:solidFill>
                    <w14:schemeClr w14:val="tx1"/>
                  </w14:solidFill>
                </w14:textFill>
              </w:rPr>
              <w:t>例</w:t>
            </w:r>
            <w:r>
              <w:rPr>
                <w:rFonts w:ascii="仿宋" w:hAnsi="仿宋" w:eastAsia="仿宋"/>
                <w:b w:val="0"/>
                <w:bCs w:val="0"/>
                <w:color w:val="000000" w:themeColor="text1"/>
                <w:lang w:bidi="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 w:line="249" w:lineRule="auto"/>
              <w:ind w:right="107"/>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精准用药检测数量</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例</w:t>
            </w:r>
          </w:p>
        </w:tc>
        <w:tc>
          <w:tcPr>
            <w:tcW w:w="4997" w:type="dxa"/>
            <w:vAlign w:val="center"/>
          </w:tcPr>
          <w:p>
            <w:pPr>
              <w:pStyle w:val="13"/>
              <w:spacing w:before="87" w:line="249" w:lineRule="auto"/>
              <w:ind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晋升周期内完成TDM或基因检测（签发报告）不少于1000例</w:t>
            </w:r>
          </w:p>
        </w:tc>
        <w:tc>
          <w:tcPr>
            <w:tcW w:w="5561" w:type="dxa"/>
            <w:vAlign w:val="center"/>
          </w:tcPr>
          <w:p>
            <w:pPr>
              <w:pStyle w:val="13"/>
              <w:spacing w:before="87"/>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晋升周期内完成TDM或基因检测（签发报告）不少于1000例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
              <w:jc w:val="center"/>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精准用药方案制定数量</w:t>
            </w:r>
          </w:p>
        </w:tc>
        <w:tc>
          <w:tcPr>
            <w:tcW w:w="993" w:type="dxa"/>
            <w:vAlign w:val="center"/>
          </w:tcPr>
          <w:p>
            <w:pPr>
              <w:pStyle w:val="13"/>
              <w:spacing w:before="1"/>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例</w:t>
            </w:r>
          </w:p>
        </w:tc>
        <w:tc>
          <w:tcPr>
            <w:tcW w:w="4997" w:type="dxa"/>
            <w:vAlign w:val="center"/>
          </w:tcPr>
          <w:p>
            <w:pPr>
              <w:pStyle w:val="13"/>
              <w:spacing w:before="1"/>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晋升周期内解读报告并制定用药方案不少于300例</w:t>
            </w:r>
          </w:p>
        </w:tc>
        <w:tc>
          <w:tcPr>
            <w:tcW w:w="5561" w:type="dxa"/>
            <w:vAlign w:val="center"/>
          </w:tcPr>
          <w:p>
            <w:pPr>
              <w:pStyle w:val="13"/>
              <w:spacing w:before="1"/>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晋升周期内解读报告并制定用药方案不少于300例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药品供应管理</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条</w:t>
            </w:r>
          </w:p>
        </w:tc>
        <w:tc>
          <w:tcPr>
            <w:tcW w:w="4997" w:type="dxa"/>
            <w:vAlign w:val="center"/>
          </w:tcPr>
          <w:p>
            <w:pPr>
              <w:pStyle w:val="13"/>
              <w:spacing w:before="230" w:line="249" w:lineRule="auto"/>
              <w:ind w:left="15"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晋升周期内采购药品条目数不少于3万条；或收发药品条目数不少于3万条</w:t>
            </w:r>
          </w:p>
        </w:tc>
        <w:tc>
          <w:tcPr>
            <w:tcW w:w="5561" w:type="dxa"/>
            <w:vAlign w:val="center"/>
          </w:tcPr>
          <w:p>
            <w:pPr>
              <w:pStyle w:val="13"/>
              <w:spacing w:before="230" w:line="249" w:lineRule="auto"/>
              <w:ind w:left="13"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晋升周期内采购药品条目数不少于3万条；或收发药品条目数不少于3万条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药物临床试验（包括BE）</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项</w:t>
            </w:r>
          </w:p>
        </w:tc>
        <w:tc>
          <w:tcPr>
            <w:tcW w:w="4997" w:type="dxa"/>
            <w:vAlign w:val="center"/>
          </w:tcPr>
          <w:p>
            <w:pPr>
              <w:pStyle w:val="13"/>
              <w:spacing w:before="230" w:line="249" w:lineRule="auto"/>
              <w:ind w:left="15"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晋升周期内参加临床试验项目不少于15项</w:t>
            </w:r>
          </w:p>
        </w:tc>
        <w:tc>
          <w:tcPr>
            <w:tcW w:w="5561" w:type="dxa"/>
            <w:vAlign w:val="center"/>
          </w:tcPr>
          <w:p>
            <w:pPr>
              <w:pStyle w:val="13"/>
              <w:spacing w:before="230" w:line="249" w:lineRule="auto"/>
              <w:ind w:left="13"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晋升周期内参加临床试验项目不少于15项，并至少包含3项为SUB-I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药物临床试验管理</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例次</w:t>
            </w:r>
          </w:p>
        </w:tc>
        <w:tc>
          <w:tcPr>
            <w:tcW w:w="4997" w:type="dxa"/>
            <w:vAlign w:val="center"/>
          </w:tcPr>
          <w:p>
            <w:pPr>
              <w:pStyle w:val="13"/>
              <w:spacing w:before="230" w:line="249" w:lineRule="auto"/>
              <w:ind w:left="15"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晋升周期内质控病例数不少于500例次</w:t>
            </w:r>
          </w:p>
        </w:tc>
        <w:tc>
          <w:tcPr>
            <w:tcW w:w="5561" w:type="dxa"/>
            <w:vAlign w:val="center"/>
          </w:tcPr>
          <w:p>
            <w:pPr>
              <w:pStyle w:val="13"/>
              <w:spacing w:before="230" w:line="249" w:lineRule="auto"/>
              <w:ind w:left="13"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晋升周期内质控病例数不少于500例次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临床试验药品管理</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项</w:t>
            </w:r>
          </w:p>
        </w:tc>
        <w:tc>
          <w:tcPr>
            <w:tcW w:w="4997" w:type="dxa"/>
            <w:vAlign w:val="center"/>
          </w:tcPr>
          <w:p>
            <w:pPr>
              <w:pStyle w:val="13"/>
              <w:spacing w:before="230" w:line="249" w:lineRule="auto"/>
              <w:ind w:left="15"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晋升周期内参与药品管理项目不少于15项</w:t>
            </w:r>
          </w:p>
        </w:tc>
        <w:tc>
          <w:tcPr>
            <w:tcW w:w="5561" w:type="dxa"/>
            <w:vAlign w:val="center"/>
          </w:tcPr>
          <w:p>
            <w:pPr>
              <w:pStyle w:val="13"/>
              <w:spacing w:before="230" w:line="249" w:lineRule="auto"/>
              <w:ind w:left="13"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晋升周期内参与药品管理项目不少于15项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b w:val="0"/>
                <w:bCs w:val="0"/>
                <w:color w:val="000000" w:themeColor="text1"/>
                <w:sz w:val="24"/>
                <w:szCs w:val="24"/>
                <w14:textFill>
                  <w14:solidFill>
                    <w14:schemeClr w14:val="tx1"/>
                  </w14:solidFill>
                </w14:textFill>
              </w:rPr>
              <w:t>药学质控</w:t>
            </w:r>
          </w:p>
        </w:tc>
        <w:tc>
          <w:tcPr>
            <w:tcW w:w="993" w:type="dxa"/>
            <w:vAlign w:val="center"/>
          </w:tcPr>
          <w:p>
            <w:pPr>
              <w:pStyle w:val="13"/>
              <w:jc w:val="center"/>
              <w:rPr>
                <w:rFonts w:ascii="仿宋" w:hAnsi="仿宋" w:eastAsia="仿宋"/>
                <w:b w:val="0"/>
                <w:bCs w:val="0"/>
                <w:color w:val="000000" w:themeColor="text1"/>
                <w:sz w:val="24"/>
                <w:szCs w:val="24"/>
                <w14:textFill>
                  <w14:solidFill>
                    <w14:schemeClr w14:val="tx1"/>
                  </w14:solidFill>
                </w14:textFill>
              </w:rPr>
            </w:pPr>
            <w:r>
              <w:rPr>
                <w:rFonts w:ascii="仿宋" w:hAnsi="仿宋" w:eastAsia="仿宋"/>
                <w:b w:val="0"/>
                <w:bCs w:val="0"/>
                <w:color w:val="000000" w:themeColor="text1"/>
                <w:sz w:val="24"/>
                <w:szCs w:val="24"/>
                <w14:textFill>
                  <w14:solidFill>
                    <w14:schemeClr w14:val="tx1"/>
                  </w14:solidFill>
                </w14:textFill>
              </w:rPr>
              <w:t>次</w:t>
            </w:r>
          </w:p>
        </w:tc>
        <w:tc>
          <w:tcPr>
            <w:tcW w:w="4997" w:type="dxa"/>
            <w:vAlign w:val="center"/>
          </w:tcPr>
          <w:p>
            <w:pPr>
              <w:pStyle w:val="13"/>
              <w:spacing w:before="230" w:line="249" w:lineRule="auto"/>
              <w:ind w:left="15"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晋升周期内参与药学质控工作不少于60次</w:t>
            </w:r>
          </w:p>
        </w:tc>
        <w:tc>
          <w:tcPr>
            <w:tcW w:w="5561" w:type="dxa"/>
            <w:vAlign w:val="center"/>
          </w:tcPr>
          <w:p>
            <w:pPr>
              <w:pStyle w:val="13"/>
              <w:spacing w:before="230" w:line="249" w:lineRule="auto"/>
              <w:ind w:left="13" w:right="3"/>
              <w:jc w:val="both"/>
              <w:rPr>
                <w:rFonts w:ascii="仿宋" w:hAnsi="仿宋" w:eastAsia="仿宋"/>
                <w:b w:val="0"/>
                <w:bCs w:val="0"/>
                <w:color w:val="000000" w:themeColor="text1"/>
                <w:sz w:val="24"/>
                <w:szCs w:val="24"/>
                <w:lang w:val="en-US"/>
                <w14:textFill>
                  <w14:solidFill>
                    <w14:schemeClr w14:val="tx1"/>
                  </w14:solidFill>
                </w14:textFill>
              </w:rPr>
            </w:pPr>
            <w:r>
              <w:rPr>
                <w:rFonts w:hint="eastAsia" w:ascii="仿宋" w:hAnsi="仿宋" w:eastAsia="仿宋"/>
                <w:b w:val="0"/>
                <w:bCs w:val="0"/>
                <w:color w:val="000000" w:themeColor="text1"/>
                <w:sz w:val="24"/>
                <w:szCs w:val="24"/>
                <w:lang w:val="en-US"/>
                <w14:textFill>
                  <w14:solidFill>
                    <w14:schemeClr w14:val="tx1"/>
                  </w14:solidFill>
                </w14:textFill>
              </w:rPr>
              <w:t>晋升周期内参与药学质控工作不少于60次</w:t>
            </w:r>
          </w:p>
        </w:tc>
      </w:tr>
    </w:tbl>
    <w:p>
      <w:pPr>
        <w:tabs>
          <w:tab w:val="left" w:pos="795"/>
        </w:tabs>
        <w:spacing w:before="12"/>
        <w:rPr>
          <w:rFonts w:ascii="楷体" w:hAnsi="楷体" w:eastAsia="楷体"/>
          <w:color w:val="000000" w:themeColor="text1"/>
          <w:sz w:val="24"/>
          <w14:textFill>
            <w14:solidFill>
              <w14:schemeClr w14:val="tx1"/>
            </w14:solidFill>
          </w14:textFill>
        </w:rPr>
      </w:pPr>
    </w:p>
    <w:p>
      <w:pPr>
        <w:widowControl/>
        <w:jc w:val="left"/>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br w:type="page"/>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注：</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 附表中专业工作时间为必备项目，其余工作量项目须满足任意两项。</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 药学门诊：药学门诊是指医疗机构开设的由药师为患者提供用药评估、用药咨询、用药教育、用药方案调整等一系列专业化药学服务的门诊。药学门诊半天（上午 4小时、下午3小时）为 1个有效单元。</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3. 处方点评数量：（1）门急诊处方点评数量是指晋升周期内点评的门急诊处方数、住院患者未在医嘱中的处方数和出院带药处方数，不包括出院患者住院医嘱。处方点评包括整体和专项点评。（2）住院医嘱点评数量是指出院患者住院医嘱点评数按点评的人数（即病历份数）统计，同一患者在同一次住院期间多个医嘱的处方点评，按1人统计。同一份病历被不同专项点评抽选到，可以分开统计。处方点评包括整体和专项点评。</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4. 药物重整：药物重整是指药师在住院患者入院、转科或出院等重要环节，通过与患者沟通、查看相关资料等方式，了解患者用药情况，比较目前正在使用的所有药物与用药医嘱是否合理一致，给出用药方案调整建议，并与医疗团队共同对不适宜用药进行调整的过程。药师应当建立并书写药物重整记录表。</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5. 药学监护数量：药师可通过药学查房、药物重整、用药教育、药学会诊、制定药学监护计划等形式开展药学监护工作的患者人次数，药师应当书写药学监护记录表或在病历中记录相关工作。</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6. 晋升周期内从事不同岗位的申报人员，其工作量可按不同的评价项目累积计算（按晋升周期内最低工作量为100%计，不同岗位累积完成工作量比例之和需大于等于100%，同一岗位最多提交两项工作量参与累积计算。例如某药师申报晋升副主任药师，晋升周期内该药师先后在门诊药师岗位（调配处方8万张、门诊处方点评6000张）、静脉配置药师岗位（参与静脉药物配置7万袋、住院医嘱点评600份）工作，</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工作量可累积计算为：评价项目 A=处方点评完成百分比（100%×8万张/15万张 +静脉配置完成百分比（100%×7万袋/10万袋）=123.3%；评价项目 B=处方点评完成百分比（100%×6000张/10000张）+医嘱点评完成百分比（100%×600份/1500份）=100%。以此类推）。</w:t>
      </w:r>
    </w:p>
    <w:p>
      <w:pPr>
        <w:tabs>
          <w:tab w:val="left" w:pos="795"/>
        </w:tabs>
        <w:spacing w:before="12"/>
        <w:rPr>
          <w:rFonts w:ascii="仿宋" w:hAnsi="仿宋" w:eastAsia="仿宋"/>
          <w:color w:val="000000" w:themeColor="text1"/>
          <w:sz w:val="32"/>
          <w:szCs w:val="32"/>
          <w14:textFill>
            <w14:solidFill>
              <w14:schemeClr w14:val="tx1"/>
            </w14:solidFill>
          </w14:textFill>
        </w:rPr>
        <w:sectPr>
          <w:footerReference r:id="rId3" w:type="default"/>
          <w:pgSz w:w="16838" w:h="11906" w:orient="landscape"/>
          <w:pgMar w:top="1797" w:right="1440" w:bottom="1797" w:left="1440" w:header="851" w:footer="992" w:gutter="0"/>
          <w:cols w:space="425" w:num="1"/>
          <w:docGrid w:linePitch="312" w:charSpace="0"/>
        </w:sectPr>
      </w:pPr>
      <w:r>
        <w:rPr>
          <w:rFonts w:hint="eastAsia" w:ascii="楷体" w:hAnsi="楷体" w:eastAsia="楷体"/>
          <w:color w:val="000000" w:themeColor="text1"/>
          <w:sz w:val="24"/>
          <w14:textFill>
            <w14:solidFill>
              <w14:schemeClr w14:val="tx1"/>
            </w14:solidFill>
          </w14:textFill>
        </w:rPr>
        <w:t>7.药学质控：医院药品管理、合理用药相关的质控工作，并有相关工作记录。</w:t>
      </w:r>
    </w:p>
    <w:p>
      <w:pPr>
        <w:spacing w:after="156" w:afterLines="5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2</w:t>
      </w:r>
    </w:p>
    <w:p>
      <w:pPr>
        <w:widowControl/>
        <w:jc w:val="center"/>
        <w:rPr>
          <w:rFonts w:asciiTheme="minorEastAsia" w:hAnsiTheme="minorEastAsia"/>
          <w:color w:val="000000" w:themeColor="text1"/>
          <w:sz w:val="44"/>
          <w:szCs w:val="44"/>
          <w14:textFill>
            <w14:solidFill>
              <w14:schemeClr w14:val="tx1"/>
            </w14:solidFill>
          </w14:textFill>
        </w:rPr>
      </w:pPr>
      <w:r>
        <w:rPr>
          <w:rFonts w:cs="LinTimes" w:asciiTheme="minorEastAsia" w:hAnsiTheme="minorEastAsia"/>
          <w:b/>
          <w:color w:val="000000" w:themeColor="text1"/>
          <w:kern w:val="0"/>
          <w:sz w:val="44"/>
          <w:szCs w:val="44"/>
          <w:lang w:bidi="ar"/>
          <w14:textFill>
            <w14:solidFill>
              <w14:schemeClr w14:val="tx1"/>
            </w14:solidFill>
          </w14:textFill>
        </w:rPr>
        <w:t>中药学专业晋升高级职称工作量要求</w:t>
      </w:r>
    </w:p>
    <w:tbl>
      <w:tblPr>
        <w:tblStyle w:val="8"/>
        <w:tblW w:w="13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9"/>
        <w:gridCol w:w="5562"/>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093"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评价项目</w:t>
            </w:r>
          </w:p>
        </w:tc>
        <w:tc>
          <w:tcPr>
            <w:tcW w:w="70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单位</w:t>
            </w:r>
          </w:p>
        </w:tc>
        <w:tc>
          <w:tcPr>
            <w:tcW w:w="5562"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晋升副主任药师</w:t>
            </w:r>
          </w:p>
        </w:tc>
        <w:tc>
          <w:tcPr>
            <w:tcW w:w="5470"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晋升主任药师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2093" w:type="dxa"/>
            <w:vAlign w:val="center"/>
          </w:tcPr>
          <w:p>
            <w:pPr>
              <w:pStyle w:val="13"/>
              <w:tabs>
                <w:tab w:val="left" w:pos="4180"/>
              </w:tabs>
              <w:spacing w:before="198"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专业工作时间</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周</w:t>
            </w:r>
          </w:p>
        </w:tc>
        <w:tc>
          <w:tcPr>
            <w:tcW w:w="5562"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担任主管药师职务期间，平均每年参加专业工作时间</w:t>
            </w:r>
            <w:r>
              <w:rPr>
                <w:rFonts w:ascii="仿宋" w:hAnsi="仿宋" w:eastAsia="仿宋"/>
                <w:color w:val="000000" w:themeColor="text1"/>
                <w:spacing w:val="-15"/>
                <w:sz w:val="24"/>
                <w:szCs w:val="24"/>
                <w14:textFill>
                  <w14:solidFill>
                    <w14:schemeClr w14:val="tx1"/>
                  </w14:solidFill>
                </w14:textFill>
              </w:rPr>
              <w:t xml:space="preserve">不少于 </w:t>
            </w:r>
            <w:r>
              <w:rPr>
                <w:rFonts w:ascii="仿宋" w:hAnsi="仿宋" w:eastAsia="仿宋"/>
                <w:color w:val="000000" w:themeColor="text1"/>
                <w:sz w:val="24"/>
                <w:szCs w:val="24"/>
                <w14:textFill>
                  <w14:solidFill>
                    <w14:schemeClr w14:val="tx1"/>
                  </w14:solidFill>
                </w14:textFill>
              </w:rPr>
              <w:t>40 周</w:t>
            </w:r>
          </w:p>
        </w:tc>
        <w:tc>
          <w:tcPr>
            <w:tcW w:w="5470"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担任副主任药师职务期间，平均每年参加专业工作时间</w:t>
            </w:r>
            <w:r>
              <w:rPr>
                <w:rFonts w:ascii="仿宋" w:hAnsi="仿宋" w:eastAsia="仿宋"/>
                <w:color w:val="000000" w:themeColor="text1"/>
                <w:spacing w:val="-15"/>
                <w:sz w:val="24"/>
                <w:szCs w:val="24"/>
                <w14:textFill>
                  <w14:solidFill>
                    <w14:schemeClr w14:val="tx1"/>
                  </w14:solidFill>
                </w14:textFill>
              </w:rPr>
              <w:t xml:space="preserve">不少于 </w:t>
            </w:r>
            <w:r>
              <w:rPr>
                <w:rFonts w:ascii="仿宋" w:hAnsi="仿宋" w:eastAsia="仿宋"/>
                <w:color w:val="000000" w:themeColor="text1"/>
                <w:sz w:val="24"/>
                <w:szCs w:val="24"/>
                <w14:textFill>
                  <w14:solidFill>
                    <w14:schemeClr w14:val="tx1"/>
                  </w14:solidFill>
                </w14:textFill>
              </w:rPr>
              <w:t>35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2093" w:type="dxa"/>
            <w:vAlign w:val="center"/>
          </w:tcPr>
          <w:p>
            <w:pPr>
              <w:pStyle w:val="13"/>
              <w:tabs>
                <w:tab w:val="left" w:pos="4180"/>
              </w:tabs>
              <w:spacing w:before="135" w:line="249" w:lineRule="auto"/>
              <w:ind w:right="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调剂中药处</w:t>
            </w:r>
            <w:r>
              <w:rPr>
                <w:rFonts w:ascii="仿宋" w:hAnsi="仿宋" w:eastAsia="仿宋"/>
                <w:color w:val="000000" w:themeColor="text1"/>
                <w:spacing w:val="-15"/>
                <w:sz w:val="24"/>
                <w:szCs w:val="24"/>
                <w14:textFill>
                  <w14:solidFill>
                    <w14:schemeClr w14:val="tx1"/>
                  </w14:solidFill>
                </w14:textFill>
              </w:rPr>
              <w:t>方</w:t>
            </w:r>
            <w:r>
              <w:rPr>
                <w:rFonts w:ascii="仿宋" w:hAnsi="仿宋" w:eastAsia="仿宋"/>
                <w:color w:val="000000" w:themeColor="text1"/>
                <w:sz w:val="24"/>
                <w:szCs w:val="24"/>
                <w14:textFill>
                  <w14:solidFill>
                    <w14:schemeClr w14:val="tx1"/>
                  </w14:solidFill>
                </w14:textFill>
              </w:rPr>
              <w:t>（医嘱</w:t>
            </w:r>
            <w:r>
              <w:rPr>
                <w:rFonts w:ascii="仿宋" w:hAnsi="仿宋" w:eastAsia="仿宋"/>
                <w:color w:val="000000" w:themeColor="text1"/>
                <w:spacing w:val="-17"/>
                <w:sz w:val="24"/>
                <w:szCs w:val="24"/>
                <w14:textFill>
                  <w14:solidFill>
                    <w14:schemeClr w14:val="tx1"/>
                  </w14:solidFill>
                </w14:textFill>
              </w:rPr>
              <w:t>）数</w:t>
            </w:r>
            <w:r>
              <w:rPr>
                <w:rFonts w:ascii="仿宋" w:hAnsi="仿宋" w:eastAsia="仿宋"/>
                <w:color w:val="000000" w:themeColor="text1"/>
                <w:sz w:val="24"/>
                <w:szCs w:val="24"/>
                <w14:textFill>
                  <w14:solidFill>
                    <w14:schemeClr w14:val="tx1"/>
                  </w14:solidFill>
                </w14:textFill>
              </w:rPr>
              <w:t>量（包括审核）</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张/剂/条</w:t>
            </w:r>
          </w:p>
        </w:tc>
        <w:tc>
          <w:tcPr>
            <w:tcW w:w="5562" w:type="dxa"/>
            <w:vAlign w:val="center"/>
          </w:tcPr>
          <w:p>
            <w:pPr>
              <w:pStyle w:val="13"/>
              <w:tabs>
                <w:tab w:val="left" w:pos="4180"/>
              </w:tabs>
              <w:spacing w:before="13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在岗期间调配中药处方数量不少于平均 </w:t>
            </w:r>
            <w:r>
              <w:rPr>
                <w:rFonts w:hint="eastAsia" w:ascii="仿宋" w:hAnsi="仿宋" w:eastAsia="仿宋"/>
                <w:color w:val="000000" w:themeColor="text1"/>
                <w:spacing w:val="-4"/>
                <w:sz w:val="24"/>
                <w:szCs w:val="24"/>
                <w:lang w:val="en-US"/>
                <w14:textFill>
                  <w14:solidFill>
                    <w14:schemeClr w14:val="tx1"/>
                  </w14:solidFill>
                </w14:textFill>
              </w:rPr>
              <w:t>50</w:t>
            </w:r>
            <w:r>
              <w:rPr>
                <w:rFonts w:ascii="仿宋" w:hAnsi="仿宋" w:eastAsia="仿宋"/>
                <w:color w:val="000000" w:themeColor="text1"/>
                <w:spacing w:val="-4"/>
                <w:sz w:val="24"/>
                <w:szCs w:val="24"/>
                <w14:textFill>
                  <w14:solidFill>
                    <w14:schemeClr w14:val="tx1"/>
                  </w14:solidFill>
                </w14:textFill>
              </w:rPr>
              <w:t xml:space="preserve">张/天或住院中药医嘱不少于平均 </w:t>
            </w:r>
            <w:r>
              <w:rPr>
                <w:rFonts w:hint="eastAsia" w:ascii="仿宋" w:hAnsi="仿宋" w:eastAsia="仿宋"/>
                <w:color w:val="000000" w:themeColor="text1"/>
                <w:spacing w:val="-4"/>
                <w:sz w:val="24"/>
                <w:szCs w:val="24"/>
                <w:lang w:val="en-US"/>
                <w14:textFill>
                  <w14:solidFill>
                    <w14:schemeClr w14:val="tx1"/>
                  </w14:solidFill>
                </w14:textFill>
              </w:rPr>
              <w:t>100</w:t>
            </w:r>
            <w:r>
              <w:rPr>
                <w:rFonts w:ascii="仿宋" w:hAnsi="仿宋" w:eastAsia="仿宋"/>
                <w:color w:val="000000" w:themeColor="text1"/>
                <w:spacing w:val="-4"/>
                <w:sz w:val="24"/>
                <w:szCs w:val="24"/>
                <w14:textFill>
                  <w14:solidFill>
                    <w14:schemeClr w14:val="tx1"/>
                  </w14:solidFill>
                </w14:textFill>
              </w:rPr>
              <w:t xml:space="preserve"> 条/天；或晋升周期内调配中药处方数量不少于 </w:t>
            </w:r>
            <w:r>
              <w:rPr>
                <w:rFonts w:hint="eastAsia" w:ascii="仿宋" w:hAnsi="仿宋" w:eastAsia="仿宋"/>
                <w:color w:val="000000" w:themeColor="text1"/>
                <w:spacing w:val="-4"/>
                <w:sz w:val="24"/>
                <w:szCs w:val="24"/>
                <w:lang w:val="en-US"/>
                <w14:textFill>
                  <w14:solidFill>
                    <w14:schemeClr w14:val="tx1"/>
                  </w14:solidFill>
                </w14:textFill>
              </w:rPr>
              <w:t xml:space="preserve">5 </w:t>
            </w:r>
            <w:r>
              <w:rPr>
                <w:rFonts w:ascii="仿宋" w:hAnsi="仿宋" w:eastAsia="仿宋"/>
                <w:color w:val="000000" w:themeColor="text1"/>
                <w:spacing w:val="-4"/>
                <w:sz w:val="24"/>
                <w:szCs w:val="24"/>
                <w14:textFill>
                  <w14:solidFill>
                    <w14:schemeClr w14:val="tx1"/>
                  </w14:solidFill>
                </w14:textFill>
              </w:rPr>
              <w:t xml:space="preserve">万张或住院中药医嘱不少于 </w:t>
            </w:r>
            <w:r>
              <w:rPr>
                <w:rFonts w:hint="eastAsia" w:ascii="仿宋" w:hAnsi="仿宋" w:eastAsia="仿宋"/>
                <w:color w:val="000000" w:themeColor="text1"/>
                <w:spacing w:val="-4"/>
                <w:sz w:val="24"/>
                <w:szCs w:val="24"/>
                <w:lang w:val="en-US"/>
                <w14:textFill>
                  <w14:solidFill>
                    <w14:schemeClr w14:val="tx1"/>
                  </w14:solidFill>
                </w14:textFill>
              </w:rPr>
              <w:t>10</w:t>
            </w:r>
            <w:r>
              <w:rPr>
                <w:rFonts w:ascii="仿宋" w:hAnsi="仿宋" w:eastAsia="仿宋"/>
                <w:color w:val="000000" w:themeColor="text1"/>
                <w:spacing w:val="-4"/>
                <w:sz w:val="24"/>
                <w:szCs w:val="24"/>
                <w14:textFill>
                  <w14:solidFill>
                    <w14:schemeClr w14:val="tx1"/>
                  </w14:solidFill>
                </w14:textFill>
              </w:rPr>
              <w:t>万条</w:t>
            </w:r>
          </w:p>
        </w:tc>
        <w:tc>
          <w:tcPr>
            <w:tcW w:w="5470" w:type="dxa"/>
            <w:vAlign w:val="center"/>
          </w:tcPr>
          <w:p>
            <w:pPr>
              <w:pStyle w:val="13"/>
              <w:tabs>
                <w:tab w:val="left" w:pos="4180"/>
              </w:tabs>
              <w:spacing w:before="13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在</w:t>
            </w:r>
            <w:r>
              <w:rPr>
                <w:rFonts w:ascii="仿宋" w:hAnsi="仿宋" w:eastAsia="仿宋"/>
                <w:color w:val="000000" w:themeColor="text1"/>
                <w:spacing w:val="-4"/>
                <w:sz w:val="24"/>
                <w:szCs w:val="24"/>
                <w14:textFill>
                  <w14:solidFill>
                    <w14:schemeClr w14:val="tx1"/>
                  </w14:solidFill>
                </w14:textFill>
              </w:rPr>
              <w:t>岗期间调配中药处方数量不少于平均</w:t>
            </w:r>
            <w:r>
              <w:rPr>
                <w:rFonts w:hint="eastAsia" w:ascii="仿宋" w:hAnsi="仿宋" w:eastAsia="仿宋"/>
                <w:color w:val="000000" w:themeColor="text1"/>
                <w:spacing w:val="-4"/>
                <w:sz w:val="24"/>
                <w:szCs w:val="24"/>
                <w:lang w:val="en-US"/>
                <w14:textFill>
                  <w14:solidFill>
                    <w14:schemeClr w14:val="tx1"/>
                  </w14:solidFill>
                </w14:textFill>
              </w:rPr>
              <w:t>40</w:t>
            </w:r>
            <w:r>
              <w:rPr>
                <w:rFonts w:ascii="仿宋" w:hAnsi="仿宋" w:eastAsia="仿宋"/>
                <w:color w:val="000000" w:themeColor="text1"/>
                <w:spacing w:val="-4"/>
                <w:sz w:val="24"/>
                <w:szCs w:val="24"/>
                <w14:textFill>
                  <w14:solidFill>
                    <w14:schemeClr w14:val="tx1"/>
                  </w14:solidFill>
                </w14:textFill>
              </w:rPr>
              <w:t>张/天或住院中药医嘱不少于平均</w:t>
            </w:r>
            <w:r>
              <w:rPr>
                <w:rFonts w:hint="eastAsia" w:ascii="仿宋" w:hAnsi="仿宋" w:eastAsia="仿宋"/>
                <w:color w:val="000000" w:themeColor="text1"/>
                <w:spacing w:val="-4"/>
                <w:sz w:val="24"/>
                <w:szCs w:val="24"/>
                <w:lang w:val="en-US"/>
                <w14:textFill>
                  <w14:solidFill>
                    <w14:schemeClr w14:val="tx1"/>
                  </w14:solidFill>
                </w14:textFill>
              </w:rPr>
              <w:t>80</w:t>
            </w:r>
            <w:r>
              <w:rPr>
                <w:rFonts w:ascii="仿宋" w:hAnsi="仿宋" w:eastAsia="仿宋"/>
                <w:color w:val="000000" w:themeColor="text1"/>
                <w:spacing w:val="-4"/>
                <w:sz w:val="24"/>
                <w:szCs w:val="24"/>
                <w14:textFill>
                  <w14:solidFill>
                    <w14:schemeClr w14:val="tx1"/>
                  </w14:solidFill>
                </w14:textFill>
              </w:rPr>
              <w:t xml:space="preserve"> 条/天；或晋升周期内调配中药处方数量不少于</w:t>
            </w:r>
            <w:r>
              <w:rPr>
                <w:rFonts w:hint="eastAsia" w:ascii="仿宋" w:hAnsi="仿宋" w:eastAsia="仿宋"/>
                <w:color w:val="000000" w:themeColor="text1"/>
                <w:spacing w:val="-4"/>
                <w:sz w:val="24"/>
                <w:szCs w:val="24"/>
                <w:lang w:val="en-US"/>
                <w14:textFill>
                  <w14:solidFill>
                    <w14:schemeClr w14:val="tx1"/>
                  </w14:solidFill>
                </w14:textFill>
              </w:rPr>
              <w:t>4</w:t>
            </w:r>
            <w:r>
              <w:rPr>
                <w:rFonts w:ascii="仿宋" w:hAnsi="仿宋" w:eastAsia="仿宋"/>
                <w:color w:val="000000" w:themeColor="text1"/>
                <w:spacing w:val="-4"/>
                <w:sz w:val="24"/>
                <w:szCs w:val="24"/>
                <w14:textFill>
                  <w14:solidFill>
                    <w14:schemeClr w14:val="tx1"/>
                  </w14:solidFill>
                </w14:textFill>
              </w:rPr>
              <w:t>万张或住院中药医嘱不少于</w:t>
            </w:r>
            <w:r>
              <w:rPr>
                <w:rFonts w:hint="eastAsia" w:ascii="仿宋" w:hAnsi="仿宋" w:eastAsia="仿宋"/>
                <w:color w:val="000000" w:themeColor="text1"/>
                <w:spacing w:val="-4"/>
                <w:sz w:val="24"/>
                <w:szCs w:val="24"/>
                <w:lang w:val="en-US"/>
                <w14:textFill>
                  <w14:solidFill>
                    <w14:schemeClr w14:val="tx1"/>
                  </w14:solidFill>
                </w14:textFill>
              </w:rPr>
              <w:t>8</w:t>
            </w:r>
            <w:r>
              <w:rPr>
                <w:rFonts w:ascii="仿宋" w:hAnsi="仿宋" w:eastAsia="仿宋"/>
                <w:color w:val="000000" w:themeColor="text1"/>
                <w:spacing w:val="-4"/>
                <w:sz w:val="24"/>
                <w:szCs w:val="24"/>
                <w14:textFill>
                  <w14:solidFill>
                    <w14:schemeClr w14:val="tx1"/>
                  </w14:solidFill>
                </w14:textFill>
              </w:rPr>
              <w:t>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093"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静脉用药调配数量</w:t>
            </w:r>
          </w:p>
        </w:tc>
        <w:tc>
          <w:tcPr>
            <w:tcW w:w="709" w:type="dxa"/>
            <w:vAlign w:val="center"/>
          </w:tcPr>
          <w:p>
            <w:pPr>
              <w:pStyle w:val="13"/>
              <w:tabs>
                <w:tab w:val="left" w:pos="4180"/>
              </w:tabs>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袋</w:t>
            </w:r>
          </w:p>
        </w:tc>
        <w:tc>
          <w:tcPr>
            <w:tcW w:w="5562" w:type="dxa"/>
            <w:vAlign w:val="center"/>
          </w:tcPr>
          <w:p>
            <w:pPr>
              <w:pStyle w:val="13"/>
              <w:tabs>
                <w:tab w:val="left" w:pos="4180"/>
              </w:tabs>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在岗期间静脉用药调配数平均每天不少于 </w:t>
            </w:r>
            <w:r>
              <w:rPr>
                <w:rFonts w:ascii="仿宋" w:hAnsi="仿宋" w:eastAsia="仿宋"/>
                <w:color w:val="000000" w:themeColor="text1"/>
                <w:sz w:val="24"/>
                <w:szCs w:val="24"/>
                <w14:textFill>
                  <w14:solidFill>
                    <w14:schemeClr w14:val="tx1"/>
                  </w14:solidFill>
                </w14:textFill>
              </w:rPr>
              <w:t>40 袋；或晋升周期内完成不少于 4 万袋</w:t>
            </w:r>
          </w:p>
        </w:tc>
        <w:tc>
          <w:tcPr>
            <w:tcW w:w="5470" w:type="dxa"/>
            <w:vAlign w:val="center"/>
          </w:tcPr>
          <w:p>
            <w:pPr>
              <w:pStyle w:val="13"/>
              <w:tabs>
                <w:tab w:val="left" w:pos="4180"/>
              </w:tabs>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在岗期间静脉用药调配数平均每天不少于 </w:t>
            </w:r>
            <w:r>
              <w:rPr>
                <w:rFonts w:ascii="仿宋" w:hAnsi="仿宋" w:eastAsia="仿宋"/>
                <w:color w:val="000000" w:themeColor="text1"/>
                <w:sz w:val="24"/>
                <w:szCs w:val="24"/>
                <w14:textFill>
                  <w14:solidFill>
                    <w14:schemeClr w14:val="tx1"/>
                  </w14:solidFill>
                </w14:textFill>
              </w:rPr>
              <w:t>30 袋；或晋升周期内完成不少于 3 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2093"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医院制剂数量</w:t>
            </w:r>
          </w:p>
        </w:tc>
        <w:tc>
          <w:tcPr>
            <w:tcW w:w="709" w:type="dxa"/>
            <w:vAlign w:val="center"/>
          </w:tcPr>
          <w:p>
            <w:pPr>
              <w:pStyle w:val="13"/>
              <w:tabs>
                <w:tab w:val="left" w:pos="4180"/>
              </w:tabs>
              <w:spacing w:before="9" w:line="249" w:lineRule="auto"/>
              <w:ind w:right="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批次/支、盒、包、袋</w:t>
            </w:r>
          </w:p>
        </w:tc>
        <w:tc>
          <w:tcPr>
            <w:tcW w:w="5562" w:type="dxa"/>
            <w:vAlign w:val="center"/>
          </w:tcPr>
          <w:p>
            <w:pPr>
              <w:pStyle w:val="13"/>
              <w:tabs>
                <w:tab w:val="left" w:pos="4180"/>
              </w:tabs>
              <w:spacing w:before="117" w:line="290" w:lineRule="exact"/>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符合以下条件之一：</w:t>
            </w:r>
          </w:p>
          <w:p>
            <w:pPr>
              <w:pStyle w:val="13"/>
              <w:tabs>
                <w:tab w:val="left" w:pos="4180"/>
              </w:tabs>
              <w:spacing w:before="9" w:line="249" w:lineRule="auto"/>
              <w:ind w:right="3"/>
              <w:jc w:val="both"/>
              <w:rPr>
                <w:rFonts w:ascii="仿宋" w:hAnsi="仿宋" w:eastAsia="仿宋"/>
                <w:color w:val="000000" w:themeColor="text1"/>
                <w:spacing w:val="-120"/>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pacing w:val="-5"/>
                <w:sz w:val="24"/>
                <w:szCs w:val="24"/>
                <w14:textFill>
                  <w14:solidFill>
                    <w14:schemeClr w14:val="tx1"/>
                  </w14:solidFill>
                </w14:textFill>
              </w:rPr>
              <w:t>完成医院制剂生产、质控、检验、仓库管理年均不</w:t>
            </w:r>
            <w:r>
              <w:rPr>
                <w:rFonts w:ascii="仿宋" w:hAnsi="仿宋" w:eastAsia="仿宋"/>
                <w:color w:val="000000" w:themeColor="text1"/>
                <w:spacing w:val="-20"/>
                <w:sz w:val="24"/>
                <w:szCs w:val="24"/>
                <w14:textFill>
                  <w14:solidFill>
                    <w14:schemeClr w14:val="tx1"/>
                  </w14:solidFill>
                </w14:textFill>
              </w:rPr>
              <w:t xml:space="preserve">少于 </w:t>
            </w:r>
            <w:r>
              <w:rPr>
                <w:rFonts w:ascii="仿宋" w:hAnsi="仿宋" w:eastAsia="仿宋"/>
                <w:color w:val="000000" w:themeColor="text1"/>
                <w:sz w:val="24"/>
                <w:szCs w:val="24"/>
                <w14:textFill>
                  <w14:solidFill>
                    <w14:schemeClr w14:val="tx1"/>
                  </w14:solidFill>
                </w14:textFill>
              </w:rPr>
              <w:t xml:space="preserve">12 </w:t>
            </w:r>
            <w:r>
              <w:rPr>
                <w:rFonts w:ascii="仿宋" w:hAnsi="仿宋" w:eastAsia="仿宋"/>
                <w:color w:val="000000" w:themeColor="text1"/>
                <w:spacing w:val="-13"/>
                <w:sz w:val="24"/>
                <w:szCs w:val="24"/>
                <w14:textFill>
                  <w14:solidFill>
                    <w14:schemeClr w14:val="tx1"/>
                  </w14:solidFill>
                </w14:textFill>
              </w:rPr>
              <w:t xml:space="preserve">批次，或不少于 </w:t>
            </w:r>
            <w:r>
              <w:rPr>
                <w:rFonts w:ascii="仿宋" w:hAnsi="仿宋" w:eastAsia="仿宋"/>
                <w:color w:val="000000" w:themeColor="text1"/>
                <w:sz w:val="24"/>
                <w:szCs w:val="24"/>
                <w14:textFill>
                  <w14:solidFill>
                    <w14:schemeClr w14:val="tx1"/>
                  </w14:solidFill>
                </w14:textFill>
              </w:rPr>
              <w:t xml:space="preserve">0.5 </w:t>
            </w:r>
            <w:r>
              <w:rPr>
                <w:rFonts w:ascii="仿宋" w:hAnsi="仿宋" w:eastAsia="仿宋"/>
                <w:color w:val="000000" w:themeColor="text1"/>
                <w:spacing w:val="-15"/>
                <w:sz w:val="24"/>
                <w:szCs w:val="24"/>
                <w14:textFill>
                  <w14:solidFill>
                    <w14:schemeClr w14:val="tx1"/>
                  </w14:solidFill>
                </w14:textFill>
              </w:rPr>
              <w:t>万瓶</w:t>
            </w:r>
            <w:r>
              <w:rPr>
                <w:rFonts w:ascii="仿宋" w:hAnsi="仿宋" w:eastAsia="仿宋"/>
                <w:color w:val="000000" w:themeColor="text1"/>
                <w:spacing w:val="-3"/>
                <w:sz w:val="24"/>
                <w:szCs w:val="24"/>
                <w14:textFill>
                  <w14:solidFill>
                    <w14:schemeClr w14:val="tx1"/>
                  </w14:solidFill>
                </w14:textFill>
              </w:rPr>
              <w:t>（</w:t>
            </w:r>
            <w:r>
              <w:rPr>
                <w:rFonts w:ascii="仿宋" w:hAnsi="仿宋" w:eastAsia="仿宋"/>
                <w:color w:val="000000" w:themeColor="text1"/>
                <w:spacing w:val="-16"/>
                <w:sz w:val="24"/>
                <w:szCs w:val="24"/>
                <w14:textFill>
                  <w14:solidFill>
                    <w14:schemeClr w14:val="tx1"/>
                  </w14:solidFill>
                </w14:textFill>
              </w:rPr>
              <w:t>支、盒、包、袋</w:t>
            </w:r>
            <w:r>
              <w:rPr>
                <w:rFonts w:ascii="仿宋" w:hAnsi="仿宋" w:eastAsia="仿宋"/>
                <w:color w:val="000000" w:themeColor="text1"/>
                <w:spacing w:val="-120"/>
                <w:sz w:val="24"/>
                <w:szCs w:val="24"/>
                <w14:textFill>
                  <w14:solidFill>
                    <w14:schemeClr w14:val="tx1"/>
                  </w14:solidFill>
                </w14:textFill>
              </w:rPr>
              <w:t>）</w:t>
            </w:r>
          </w:p>
          <w:p>
            <w:pPr>
              <w:pStyle w:val="13"/>
              <w:tabs>
                <w:tab w:val="left" w:pos="4180"/>
              </w:tabs>
              <w:spacing w:before="9" w:line="249"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pacing w:val="-4"/>
                <w:sz w:val="24"/>
                <w:szCs w:val="24"/>
                <w14:textFill>
                  <w14:solidFill>
                    <w14:schemeClr w14:val="tx1"/>
                  </w14:solidFill>
                </w14:textFill>
              </w:rPr>
              <w:t>完成医院制剂生产、质控、检验、仓库管理不少</w:t>
            </w:r>
            <w:r>
              <w:rPr>
                <w:rFonts w:ascii="仿宋" w:hAnsi="仿宋" w:eastAsia="仿宋"/>
                <w:color w:val="000000" w:themeColor="text1"/>
                <w:spacing w:val="-17"/>
                <w:sz w:val="24"/>
                <w:szCs w:val="24"/>
                <w14:textFill>
                  <w14:solidFill>
                    <w14:schemeClr w14:val="tx1"/>
                  </w14:solidFill>
                </w14:textFill>
              </w:rPr>
              <w:t>于</w:t>
            </w:r>
            <w:r>
              <w:rPr>
                <w:rFonts w:ascii="仿宋" w:hAnsi="仿宋" w:eastAsia="仿宋"/>
                <w:color w:val="000000" w:themeColor="text1"/>
                <w:sz w:val="24"/>
                <w:szCs w:val="24"/>
                <w14:textFill>
                  <w14:solidFill>
                    <w14:schemeClr w14:val="tx1"/>
                  </w14:solidFill>
                </w14:textFill>
              </w:rPr>
              <w:t>批次，或不少于 2.5 万瓶（支、盒、包、袋）</w:t>
            </w:r>
          </w:p>
        </w:tc>
        <w:tc>
          <w:tcPr>
            <w:tcW w:w="5470" w:type="dxa"/>
            <w:vAlign w:val="center"/>
          </w:tcPr>
          <w:p>
            <w:pPr>
              <w:pStyle w:val="13"/>
              <w:tabs>
                <w:tab w:val="left" w:pos="4180"/>
              </w:tabs>
              <w:spacing w:before="117" w:line="290" w:lineRule="exact"/>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符合以下条件之一：</w:t>
            </w:r>
          </w:p>
          <w:p>
            <w:pPr>
              <w:pStyle w:val="13"/>
              <w:tabs>
                <w:tab w:val="left" w:pos="181"/>
                <w:tab w:val="left" w:pos="4180"/>
              </w:tabs>
              <w:spacing w:before="9"/>
              <w:ind w:right="3"/>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pacing w:val="-7"/>
                <w:sz w:val="24"/>
                <w:szCs w:val="24"/>
                <w14:textFill>
                  <w14:solidFill>
                    <w14:schemeClr w14:val="tx1"/>
                  </w14:solidFill>
                </w14:textFill>
              </w:rPr>
              <w:t>1.</w:t>
            </w:r>
            <w:r>
              <w:rPr>
                <w:rFonts w:ascii="仿宋" w:hAnsi="仿宋" w:eastAsia="仿宋"/>
                <w:color w:val="000000" w:themeColor="text1"/>
                <w:spacing w:val="-7"/>
                <w:sz w:val="24"/>
                <w:szCs w:val="24"/>
                <w14:textFill>
                  <w14:solidFill>
                    <w14:schemeClr w14:val="tx1"/>
                  </w14:solidFill>
                </w14:textFill>
              </w:rPr>
              <w:t>完成医院制剂生产、质控、检验、仓库管理年均不少</w:t>
            </w:r>
            <w:r>
              <w:rPr>
                <w:rFonts w:ascii="仿宋" w:hAnsi="仿宋" w:eastAsia="仿宋"/>
                <w:color w:val="000000" w:themeColor="text1"/>
                <w:spacing w:val="-29"/>
                <w:sz w:val="24"/>
                <w:szCs w:val="24"/>
                <w14:textFill>
                  <w14:solidFill>
                    <w14:schemeClr w14:val="tx1"/>
                  </w14:solidFill>
                </w14:textFill>
              </w:rPr>
              <w:t xml:space="preserve">。 于 </w:t>
            </w:r>
            <w:r>
              <w:rPr>
                <w:rFonts w:ascii="仿宋" w:hAnsi="仿宋" w:eastAsia="仿宋"/>
                <w:color w:val="000000" w:themeColor="text1"/>
                <w:sz w:val="24"/>
                <w:szCs w:val="24"/>
                <w14:textFill>
                  <w14:solidFill>
                    <w14:schemeClr w14:val="tx1"/>
                  </w14:solidFill>
                </w14:textFill>
              </w:rPr>
              <w:t xml:space="preserve">10 </w:t>
            </w:r>
            <w:r>
              <w:rPr>
                <w:rFonts w:ascii="仿宋" w:hAnsi="仿宋" w:eastAsia="仿宋"/>
                <w:color w:val="000000" w:themeColor="text1"/>
                <w:spacing w:val="-8"/>
                <w:sz w:val="24"/>
                <w:szCs w:val="24"/>
                <w14:textFill>
                  <w14:solidFill>
                    <w14:schemeClr w14:val="tx1"/>
                  </w14:solidFill>
                </w14:textFill>
              </w:rPr>
              <w:t xml:space="preserve">批次，或不少于 </w:t>
            </w:r>
            <w:r>
              <w:rPr>
                <w:rFonts w:ascii="仿宋" w:hAnsi="仿宋" w:eastAsia="仿宋"/>
                <w:color w:val="000000" w:themeColor="text1"/>
                <w:sz w:val="24"/>
                <w:szCs w:val="24"/>
                <w14:textFill>
                  <w14:solidFill>
                    <w14:schemeClr w14:val="tx1"/>
                  </w14:solidFill>
                </w14:textFill>
              </w:rPr>
              <w:t>0.4 万瓶（支、盒、包、袋）</w:t>
            </w:r>
            <w:r>
              <w:rPr>
                <w:rFonts w:ascii="仿宋" w:hAnsi="仿宋" w:eastAsia="仿宋"/>
                <w:color w:val="000000" w:themeColor="text1"/>
                <w:spacing w:val="-16"/>
                <w:sz w:val="24"/>
                <w:szCs w:val="24"/>
                <w14:textFill>
                  <w14:solidFill>
                    <w14:schemeClr w14:val="tx1"/>
                  </w14:solidFill>
                </w14:textFill>
              </w:rPr>
              <w:t>。</w:t>
            </w:r>
          </w:p>
          <w:p>
            <w:pPr>
              <w:pStyle w:val="13"/>
              <w:tabs>
                <w:tab w:val="left" w:pos="373"/>
                <w:tab w:val="left" w:pos="4180"/>
              </w:tabs>
              <w:spacing w:before="14"/>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完成医院制剂生产、质控、检验、仓库管理不少于500 批次，或不少于 2 万瓶（支、盒、包、袋）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pStyle w:val="13"/>
              <w:tabs>
                <w:tab w:val="left" w:pos="4180"/>
              </w:tabs>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完成药库工作量</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w:t>
            </w:r>
          </w:p>
        </w:tc>
        <w:tc>
          <w:tcPr>
            <w:tcW w:w="5562" w:type="dxa"/>
            <w:vAlign w:val="center"/>
          </w:tcPr>
          <w:p>
            <w:pPr>
              <w:pStyle w:val="13"/>
              <w:tabs>
                <w:tab w:val="left" w:pos="4180"/>
              </w:tabs>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3"/>
                <w:sz w:val="24"/>
                <w:szCs w:val="24"/>
                <w14:textFill>
                  <w14:solidFill>
                    <w14:schemeClr w14:val="tx1"/>
                  </w14:solidFill>
                </w14:textFill>
              </w:rPr>
              <w:t>完成药品</w:t>
            </w: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3"/>
                <w:sz w:val="24"/>
                <w:szCs w:val="24"/>
                <w14:textFill>
                  <w14:solidFill>
                    <w14:schemeClr w14:val="tx1"/>
                  </w14:solidFill>
                </w14:textFill>
              </w:rPr>
              <w:t>含中药、西药</w:t>
            </w:r>
            <w:r>
              <w:rPr>
                <w:rFonts w:ascii="仿宋" w:hAnsi="仿宋" w:eastAsia="仿宋"/>
                <w:color w:val="000000" w:themeColor="text1"/>
                <w:spacing w:val="-10"/>
                <w:sz w:val="24"/>
                <w:szCs w:val="24"/>
                <w14:textFill>
                  <w14:solidFill>
                    <w14:schemeClr w14:val="tx1"/>
                  </w14:solidFill>
                </w14:textFill>
              </w:rPr>
              <w:t>）</w:t>
            </w:r>
            <w:r>
              <w:rPr>
                <w:rFonts w:ascii="仿宋" w:hAnsi="仿宋" w:eastAsia="仿宋"/>
                <w:color w:val="000000" w:themeColor="text1"/>
                <w:spacing w:val="-7"/>
                <w:sz w:val="24"/>
                <w:szCs w:val="24"/>
                <w14:textFill>
                  <w14:solidFill>
                    <w14:schemeClr w14:val="tx1"/>
                  </w14:solidFill>
                </w14:textFill>
              </w:rPr>
              <w:t xml:space="preserve">出入库年均不少于 </w:t>
            </w:r>
            <w:r>
              <w:rPr>
                <w:rFonts w:ascii="仿宋" w:hAnsi="仿宋" w:eastAsia="仿宋"/>
                <w:color w:val="000000" w:themeColor="text1"/>
                <w:sz w:val="24"/>
                <w:szCs w:val="24"/>
                <w14:textFill>
                  <w14:solidFill>
                    <w14:schemeClr w14:val="tx1"/>
                  </w14:solidFill>
                </w14:textFill>
              </w:rPr>
              <w:t xml:space="preserve">0.5 </w:t>
            </w:r>
            <w:r>
              <w:rPr>
                <w:rFonts w:ascii="仿宋" w:hAnsi="仿宋" w:eastAsia="仿宋"/>
                <w:color w:val="000000" w:themeColor="text1"/>
                <w:spacing w:val="-14"/>
                <w:sz w:val="24"/>
                <w:szCs w:val="24"/>
                <w14:textFill>
                  <w14:solidFill>
                    <w14:schemeClr w14:val="tx1"/>
                  </w14:solidFill>
                </w14:textFill>
              </w:rPr>
              <w:t>万</w:t>
            </w:r>
            <w:r>
              <w:rPr>
                <w:rFonts w:ascii="仿宋" w:hAnsi="仿宋" w:eastAsia="仿宋"/>
                <w:color w:val="000000" w:themeColor="text1"/>
                <w:sz w:val="24"/>
                <w:szCs w:val="24"/>
                <w14:textFill>
                  <w14:solidFill>
                    <w14:schemeClr w14:val="tx1"/>
                  </w14:solidFill>
                </w14:textFill>
              </w:rPr>
              <w:t>批次；或晋升周期内完成不少于 2.5 万批次</w:t>
            </w:r>
          </w:p>
        </w:tc>
        <w:tc>
          <w:tcPr>
            <w:tcW w:w="5470" w:type="dxa"/>
            <w:vAlign w:val="center"/>
          </w:tcPr>
          <w:p>
            <w:pPr>
              <w:pStyle w:val="13"/>
              <w:tabs>
                <w:tab w:val="left" w:pos="4180"/>
              </w:tabs>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完成药品</w:t>
            </w: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4"/>
                <w:sz w:val="24"/>
                <w:szCs w:val="24"/>
                <w14:textFill>
                  <w14:solidFill>
                    <w14:schemeClr w14:val="tx1"/>
                  </w14:solidFill>
                </w14:textFill>
              </w:rPr>
              <w:t>含中药、西药</w:t>
            </w:r>
            <w:r>
              <w:rPr>
                <w:rFonts w:ascii="仿宋" w:hAnsi="仿宋" w:eastAsia="仿宋"/>
                <w:color w:val="000000" w:themeColor="text1"/>
                <w:spacing w:val="-17"/>
                <w:sz w:val="24"/>
                <w:szCs w:val="24"/>
                <w14:textFill>
                  <w14:solidFill>
                    <w14:schemeClr w14:val="tx1"/>
                  </w14:solidFill>
                </w14:textFill>
              </w:rPr>
              <w:t>）</w:t>
            </w:r>
            <w:r>
              <w:rPr>
                <w:rFonts w:ascii="仿宋" w:hAnsi="仿宋" w:eastAsia="仿宋"/>
                <w:color w:val="000000" w:themeColor="text1"/>
                <w:spacing w:val="-7"/>
                <w:sz w:val="24"/>
                <w:szCs w:val="24"/>
                <w14:textFill>
                  <w14:solidFill>
                    <w14:schemeClr w14:val="tx1"/>
                  </w14:solidFill>
                </w14:textFill>
              </w:rPr>
              <w:t xml:space="preserve">出入库年均不少于 </w:t>
            </w:r>
            <w:r>
              <w:rPr>
                <w:rFonts w:ascii="仿宋" w:hAnsi="仿宋" w:eastAsia="仿宋"/>
                <w:color w:val="000000" w:themeColor="text1"/>
                <w:sz w:val="24"/>
                <w:szCs w:val="24"/>
                <w14:textFill>
                  <w14:solidFill>
                    <w14:schemeClr w14:val="tx1"/>
                  </w14:solidFill>
                </w14:textFill>
              </w:rPr>
              <w:t xml:space="preserve">0.4 </w:t>
            </w:r>
            <w:r>
              <w:rPr>
                <w:rFonts w:ascii="仿宋" w:hAnsi="仿宋" w:eastAsia="仿宋"/>
                <w:color w:val="000000" w:themeColor="text1"/>
                <w:spacing w:val="-7"/>
                <w:sz w:val="24"/>
                <w:szCs w:val="24"/>
                <w14:textFill>
                  <w14:solidFill>
                    <w14:schemeClr w14:val="tx1"/>
                  </w14:solidFill>
                </w14:textFill>
              </w:rPr>
              <w:t>万批</w:t>
            </w:r>
            <w:r>
              <w:rPr>
                <w:rFonts w:ascii="仿宋" w:hAnsi="仿宋" w:eastAsia="仿宋"/>
                <w:color w:val="000000" w:themeColor="text1"/>
                <w:sz w:val="24"/>
                <w:szCs w:val="24"/>
                <w14:textFill>
                  <w14:solidFill>
                    <w14:schemeClr w14:val="tx1"/>
                  </w14:solidFill>
                </w14:textFill>
              </w:rPr>
              <w:t>次；或晋升周期内完成不少于 2 万批次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093" w:type="dxa"/>
            <w:vAlign w:val="center"/>
          </w:tcPr>
          <w:p>
            <w:pPr>
              <w:pStyle w:val="13"/>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膏方制备工作量</w:t>
            </w:r>
          </w:p>
        </w:tc>
        <w:tc>
          <w:tcPr>
            <w:tcW w:w="709" w:type="dxa"/>
            <w:vAlign w:val="center"/>
          </w:tcPr>
          <w:p>
            <w:pPr>
              <w:pStyle w:val="13"/>
              <w:spacing w:before="16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料（人次</w:t>
            </w:r>
          </w:p>
        </w:tc>
        <w:tc>
          <w:tcPr>
            <w:tcW w:w="5562"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完成膏方制备年均不少于 </w:t>
            </w:r>
            <w:r>
              <w:rPr>
                <w:rFonts w:hint="eastAsia" w:ascii="仿宋" w:hAnsi="仿宋" w:eastAsia="仿宋"/>
                <w:color w:val="000000" w:themeColor="text1"/>
                <w:sz w:val="24"/>
                <w:szCs w:val="24"/>
                <w:lang w:val="en-US"/>
                <w14:textFill>
                  <w14:solidFill>
                    <w14:schemeClr w14:val="tx1"/>
                  </w14:solidFill>
                </w14:textFill>
              </w:rPr>
              <w:t>50</w:t>
            </w:r>
            <w:r>
              <w:rPr>
                <w:rFonts w:ascii="仿宋" w:hAnsi="仿宋" w:eastAsia="仿宋"/>
                <w:color w:val="000000" w:themeColor="text1"/>
                <w:sz w:val="24"/>
                <w:szCs w:val="24"/>
                <w14:textFill>
                  <w14:solidFill>
                    <w14:schemeClr w14:val="tx1"/>
                  </w14:solidFill>
                </w14:textFill>
              </w:rPr>
              <w:t xml:space="preserve"> 料（人次），</w:t>
            </w:r>
            <w:r>
              <w:rPr>
                <w:rFonts w:ascii="仿宋" w:hAnsi="仿宋" w:eastAsia="仿宋"/>
                <w:color w:val="000000" w:themeColor="text1"/>
                <w:spacing w:val="-3"/>
                <w:sz w:val="24"/>
                <w:szCs w:val="24"/>
                <w14:textFill>
                  <w14:solidFill>
                    <w14:schemeClr w14:val="tx1"/>
                  </w14:solidFill>
                </w14:textFill>
              </w:rPr>
              <w:t>或晋升周期</w:t>
            </w:r>
            <w:r>
              <w:rPr>
                <w:rFonts w:hint="eastAsia" w:ascii="仿宋" w:hAnsi="仿宋" w:eastAsia="仿宋"/>
                <w:color w:val="000000" w:themeColor="text1"/>
                <w:spacing w:val="-3"/>
                <w:sz w:val="24"/>
                <w:szCs w:val="24"/>
                <w:lang w:val="en-US"/>
                <w14:textFill>
                  <w14:solidFill>
                    <w14:schemeClr w14:val="tx1"/>
                  </w14:solidFill>
                </w14:textFill>
              </w:rPr>
              <w:t>内</w:t>
            </w:r>
            <w:r>
              <w:rPr>
                <w:rFonts w:ascii="仿宋" w:hAnsi="仿宋" w:eastAsia="仿宋"/>
                <w:color w:val="000000" w:themeColor="text1"/>
                <w:sz w:val="24"/>
                <w:szCs w:val="24"/>
                <w14:textFill>
                  <w14:solidFill>
                    <w14:schemeClr w14:val="tx1"/>
                  </w14:solidFill>
                </w14:textFill>
              </w:rPr>
              <w:t>完成不少于 2</w:t>
            </w:r>
            <w:r>
              <w:rPr>
                <w:rFonts w:hint="eastAsia" w:ascii="仿宋" w:hAnsi="仿宋" w:eastAsia="仿宋"/>
                <w:color w:val="000000" w:themeColor="text1"/>
                <w:sz w:val="24"/>
                <w:szCs w:val="24"/>
                <w:lang w:val="en-US"/>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0 料（人次）</w:t>
            </w:r>
          </w:p>
        </w:tc>
        <w:tc>
          <w:tcPr>
            <w:tcW w:w="5470"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完成膏方制备年均不少于 </w:t>
            </w:r>
            <w:r>
              <w:rPr>
                <w:rFonts w:ascii="仿宋" w:hAnsi="仿宋" w:eastAsia="仿宋"/>
                <w:color w:val="000000" w:themeColor="text1"/>
                <w:sz w:val="24"/>
                <w:szCs w:val="24"/>
                <w14:textFill>
                  <w14:solidFill>
                    <w14:schemeClr w14:val="tx1"/>
                  </w14:solidFill>
                </w14:textFill>
              </w:rPr>
              <w:t>40 料（人次），</w:t>
            </w:r>
            <w:r>
              <w:rPr>
                <w:rFonts w:ascii="仿宋" w:hAnsi="仿宋" w:eastAsia="仿宋"/>
                <w:color w:val="000000" w:themeColor="text1"/>
                <w:spacing w:val="-3"/>
                <w:sz w:val="24"/>
                <w:szCs w:val="24"/>
                <w14:textFill>
                  <w14:solidFill>
                    <w14:schemeClr w14:val="tx1"/>
                  </w14:solidFill>
                </w14:textFill>
              </w:rPr>
              <w:t>或晋升周期</w:t>
            </w:r>
            <w:r>
              <w:rPr>
                <w:rFonts w:ascii="仿宋" w:hAnsi="仿宋" w:eastAsia="仿宋"/>
                <w:color w:val="000000" w:themeColor="text1"/>
                <w:sz w:val="24"/>
                <w:szCs w:val="24"/>
                <w14:textFill>
                  <w14:solidFill>
                    <w14:schemeClr w14:val="tx1"/>
                  </w14:solidFill>
                </w14:textFill>
              </w:rPr>
              <w:t>内完成不少于 200 料（人次）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093" w:type="dxa"/>
            <w:vAlign w:val="center"/>
          </w:tcPr>
          <w:p>
            <w:pPr>
              <w:pStyle w:val="13"/>
              <w:spacing w:before="155"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中药煎煮工作量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剂</w:t>
            </w:r>
          </w:p>
        </w:tc>
        <w:tc>
          <w:tcPr>
            <w:tcW w:w="5562" w:type="dxa"/>
            <w:vAlign w:val="center"/>
          </w:tcPr>
          <w:p>
            <w:pPr>
              <w:pStyle w:val="13"/>
              <w:spacing w:before="15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完成中药煎煮年均不少于 </w:t>
            </w:r>
            <w:r>
              <w:rPr>
                <w:rFonts w:ascii="仿宋" w:hAnsi="仿宋" w:eastAsia="仿宋"/>
                <w:color w:val="000000" w:themeColor="text1"/>
                <w:sz w:val="24"/>
                <w:szCs w:val="24"/>
                <w14:textFill>
                  <w14:solidFill>
                    <w14:schemeClr w14:val="tx1"/>
                  </w14:solidFill>
                </w14:textFill>
              </w:rPr>
              <w:t xml:space="preserve">0.3 </w:t>
            </w:r>
            <w:r>
              <w:rPr>
                <w:rFonts w:ascii="仿宋" w:hAnsi="仿宋" w:eastAsia="仿宋"/>
                <w:color w:val="000000" w:themeColor="text1"/>
                <w:spacing w:val="-7"/>
                <w:sz w:val="24"/>
                <w:szCs w:val="24"/>
                <w14:textFill>
                  <w14:solidFill>
                    <w14:schemeClr w14:val="tx1"/>
                  </w14:solidFill>
                </w14:textFill>
              </w:rPr>
              <w:t>万剂；或晋升周期内完</w:t>
            </w:r>
            <w:r>
              <w:rPr>
                <w:rFonts w:ascii="仿宋" w:hAnsi="仿宋" w:eastAsia="仿宋"/>
                <w:color w:val="000000" w:themeColor="text1"/>
                <w:sz w:val="24"/>
                <w:szCs w:val="24"/>
                <w14:textFill>
                  <w14:solidFill>
                    <w14:schemeClr w14:val="tx1"/>
                  </w14:solidFill>
                </w14:textFill>
              </w:rPr>
              <w:t>成不少于 1.5 万剂</w:t>
            </w:r>
          </w:p>
        </w:tc>
        <w:tc>
          <w:tcPr>
            <w:tcW w:w="5470" w:type="dxa"/>
            <w:vAlign w:val="center"/>
          </w:tcPr>
          <w:p>
            <w:pPr>
              <w:pStyle w:val="13"/>
              <w:spacing w:before="15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完成中药煎煮年均不少于 0.24 万剂；或晋升周期内完成不少于 1.2 万剂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pStyle w:val="13"/>
              <w:spacing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w:t>
            </w:r>
            <w:r>
              <w:rPr>
                <w:rFonts w:hint="eastAsia" w:ascii="仿宋" w:hAnsi="仿宋" w:eastAsia="仿宋"/>
                <w:color w:val="000000" w:themeColor="text1"/>
                <w:sz w:val="24"/>
                <w:szCs w:val="24"/>
                <w14:textFill>
                  <w14:solidFill>
                    <w14:schemeClr w14:val="tx1"/>
                  </w14:solidFill>
                </w14:textFill>
              </w:rPr>
              <w:t>采购</w:t>
            </w:r>
            <w:r>
              <w:rPr>
                <w:rFonts w:hint="eastAsia" w:ascii="仿宋" w:hAnsi="仿宋" w:eastAsia="仿宋"/>
                <w:b/>
                <w:bCs/>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验收养护工作量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w:t>
            </w:r>
          </w:p>
        </w:tc>
        <w:tc>
          <w:tcPr>
            <w:tcW w:w="5562"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完成中药</w:t>
            </w:r>
            <w:r>
              <w:rPr>
                <w:rFonts w:hint="eastAsia" w:ascii="仿宋" w:hAnsi="仿宋" w:eastAsia="仿宋"/>
                <w:color w:val="000000" w:themeColor="text1"/>
                <w:spacing w:val="-10"/>
                <w:sz w:val="24"/>
                <w:szCs w:val="24"/>
                <w14:textFill>
                  <w14:solidFill>
                    <w14:schemeClr w14:val="tx1"/>
                  </w14:solidFill>
                </w14:textFill>
              </w:rPr>
              <w:t>采购、</w:t>
            </w:r>
            <w:r>
              <w:rPr>
                <w:rFonts w:ascii="仿宋" w:hAnsi="仿宋" w:eastAsia="仿宋"/>
                <w:color w:val="000000" w:themeColor="text1"/>
                <w:spacing w:val="-10"/>
                <w:sz w:val="24"/>
                <w:szCs w:val="24"/>
                <w14:textFill>
                  <w14:solidFill>
                    <w14:schemeClr w14:val="tx1"/>
                  </w14:solidFill>
                </w14:textFill>
              </w:rPr>
              <w:t xml:space="preserve">验收鉴定、养护年均不少于 </w:t>
            </w:r>
            <w:r>
              <w:rPr>
                <w:rFonts w:hint="eastAsia" w:ascii="仿宋" w:hAnsi="仿宋" w:eastAsia="仿宋"/>
                <w:color w:val="000000" w:themeColor="text1"/>
                <w:spacing w:val="-10"/>
                <w:sz w:val="24"/>
                <w:szCs w:val="24"/>
                <w:lang w:val="en-US"/>
                <w14:textFill>
                  <w14:solidFill>
                    <w14:schemeClr w14:val="tx1"/>
                  </w14:solidFill>
                </w14:textFill>
              </w:rPr>
              <w:t>50</w:t>
            </w:r>
            <w:r>
              <w:rPr>
                <w:rFonts w:ascii="仿宋" w:hAnsi="仿宋" w:eastAsia="仿宋"/>
                <w:color w:val="000000" w:themeColor="text1"/>
                <w:spacing w:val="-10"/>
                <w:sz w:val="24"/>
                <w:szCs w:val="24"/>
                <w14:textFill>
                  <w14:solidFill>
                    <w14:schemeClr w14:val="tx1"/>
                  </w14:solidFill>
                </w14:textFill>
              </w:rPr>
              <w:t xml:space="preserve"> 批次；或晋升周期内完成不少于</w:t>
            </w:r>
            <w:r>
              <w:rPr>
                <w:rFonts w:hint="eastAsia" w:ascii="仿宋" w:hAnsi="仿宋" w:eastAsia="仿宋"/>
                <w:color w:val="000000" w:themeColor="text1"/>
                <w:spacing w:val="-10"/>
                <w:sz w:val="24"/>
                <w:szCs w:val="24"/>
                <w:lang w:val="en-US"/>
                <w14:textFill>
                  <w14:solidFill>
                    <w14:schemeClr w14:val="tx1"/>
                  </w14:solidFill>
                </w14:textFill>
              </w:rPr>
              <w:t>500</w:t>
            </w:r>
            <w:r>
              <w:rPr>
                <w:rFonts w:ascii="仿宋" w:hAnsi="仿宋" w:eastAsia="仿宋"/>
                <w:color w:val="000000" w:themeColor="text1"/>
                <w:spacing w:val="-10"/>
                <w:sz w:val="24"/>
                <w:szCs w:val="24"/>
                <w14:textFill>
                  <w14:solidFill>
                    <w14:schemeClr w14:val="tx1"/>
                  </w14:solidFill>
                </w14:textFill>
              </w:rPr>
              <w:t xml:space="preserve"> 批次</w:t>
            </w:r>
          </w:p>
        </w:tc>
        <w:tc>
          <w:tcPr>
            <w:tcW w:w="5470"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完成中药验收鉴定、养护年均不少于 40批次；或晋升周期内完成不少于 200 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2093" w:type="dxa"/>
            <w:vAlign w:val="center"/>
          </w:tcPr>
          <w:p>
            <w:pPr>
              <w:pStyle w:val="13"/>
              <w:spacing w:before="1"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中药临床药学工作量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例次</w:t>
            </w:r>
          </w:p>
        </w:tc>
        <w:tc>
          <w:tcPr>
            <w:tcW w:w="5562" w:type="dxa"/>
            <w:vAlign w:val="center"/>
          </w:tcPr>
          <w:p>
            <w:pPr>
              <w:pStyle w:val="13"/>
              <w:spacing w:before="87" w:line="249"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每年参与临床治疗工作不少于 </w:t>
            </w:r>
            <w:r>
              <w:rPr>
                <w:rFonts w:ascii="仿宋" w:hAnsi="仿宋" w:eastAsia="仿宋"/>
                <w:color w:val="000000" w:themeColor="text1"/>
                <w:sz w:val="24"/>
                <w:szCs w:val="24"/>
                <w14:textFill>
                  <w14:solidFill>
                    <w14:schemeClr w14:val="tx1"/>
                  </w14:solidFill>
                </w14:textFill>
              </w:rPr>
              <w:t>50 例次（</w:t>
            </w:r>
            <w:r>
              <w:rPr>
                <w:rFonts w:ascii="仿宋" w:hAnsi="仿宋" w:eastAsia="仿宋"/>
                <w:color w:val="000000" w:themeColor="text1"/>
                <w:spacing w:val="-3"/>
                <w:sz w:val="24"/>
                <w:szCs w:val="24"/>
                <w14:textFill>
                  <w14:solidFill>
                    <w14:schemeClr w14:val="tx1"/>
                  </w14:solidFill>
                </w14:textFill>
              </w:rPr>
              <w:t>包括中药咨</w:t>
            </w:r>
            <w:r>
              <w:rPr>
                <w:rFonts w:ascii="仿宋" w:hAnsi="仿宋" w:eastAsia="仿宋"/>
                <w:color w:val="000000" w:themeColor="text1"/>
                <w:spacing w:val="-17"/>
                <w:sz w:val="24"/>
                <w:szCs w:val="24"/>
                <w14:textFill>
                  <w14:solidFill>
                    <w14:schemeClr w14:val="tx1"/>
                  </w14:solidFill>
                </w14:textFill>
              </w:rPr>
              <w:t>询、药学查房、疑难病例讨论、会诊、患者用药教育</w:t>
            </w:r>
            <w:r>
              <w:rPr>
                <w:rFonts w:ascii="仿宋" w:hAnsi="仿宋" w:eastAsia="仿宋"/>
                <w:color w:val="000000" w:themeColor="text1"/>
                <w:spacing w:val="-15"/>
                <w:sz w:val="24"/>
                <w:szCs w:val="24"/>
                <w14:textFill>
                  <w14:solidFill>
                    <w14:schemeClr w14:val="tx1"/>
                  </w14:solidFill>
                </w14:textFill>
              </w:rPr>
              <w:t>合理用药分析、药品不良反应上报、药学门诊、治疗</w:t>
            </w:r>
            <w:r>
              <w:rPr>
                <w:rFonts w:ascii="仿宋" w:hAnsi="仿宋" w:eastAsia="仿宋"/>
                <w:color w:val="000000" w:themeColor="text1"/>
                <w:spacing w:val="-12"/>
                <w:sz w:val="24"/>
                <w:szCs w:val="24"/>
                <w14:textFill>
                  <w14:solidFill>
                    <w14:schemeClr w14:val="tx1"/>
                  </w14:solidFill>
                </w14:textFill>
              </w:rPr>
              <w:t xml:space="preserve">药物监测 </w:t>
            </w:r>
            <w:r>
              <w:rPr>
                <w:rFonts w:ascii="仿宋" w:hAnsi="仿宋" w:eastAsia="仿宋"/>
                <w:color w:val="000000" w:themeColor="text1"/>
                <w:sz w:val="24"/>
                <w:szCs w:val="24"/>
                <w14:textFill>
                  <w14:solidFill>
                    <w14:schemeClr w14:val="tx1"/>
                  </w14:solidFill>
                </w14:textFill>
              </w:rPr>
              <w:t>TDM 或基因检测等</w:t>
            </w:r>
            <w:r>
              <w:rPr>
                <w:rFonts w:ascii="仿宋" w:hAnsi="仿宋" w:eastAsia="仿宋"/>
                <w:color w:val="000000" w:themeColor="text1"/>
                <w:spacing w:val="-14"/>
                <w:sz w:val="24"/>
                <w:szCs w:val="24"/>
                <w14:textFill>
                  <w14:solidFill>
                    <w14:schemeClr w14:val="tx1"/>
                  </w14:solidFill>
                </w14:textFill>
              </w:rPr>
              <w:t>）</w:t>
            </w:r>
            <w:r>
              <w:rPr>
                <w:rFonts w:ascii="仿宋" w:hAnsi="仿宋" w:eastAsia="仿宋"/>
                <w:color w:val="000000" w:themeColor="text1"/>
                <w:spacing w:val="-6"/>
                <w:sz w:val="24"/>
                <w:szCs w:val="24"/>
                <w14:textFill>
                  <w14:solidFill>
                    <w14:schemeClr w14:val="tx1"/>
                  </w14:solidFill>
                </w14:textFill>
              </w:rPr>
              <w:t>；或晋升周期内完成</w:t>
            </w:r>
            <w:r>
              <w:rPr>
                <w:rFonts w:ascii="仿宋" w:hAnsi="仿宋" w:eastAsia="仿宋"/>
                <w:color w:val="000000" w:themeColor="text1"/>
                <w:spacing w:val="-15"/>
                <w:sz w:val="24"/>
                <w:szCs w:val="24"/>
                <w14:textFill>
                  <w14:solidFill>
                    <w14:schemeClr w14:val="tx1"/>
                  </w14:solidFill>
                </w14:textFill>
              </w:rPr>
              <w:t xml:space="preserve">不少于 </w:t>
            </w:r>
            <w:r>
              <w:rPr>
                <w:rFonts w:ascii="仿宋" w:hAnsi="仿宋" w:eastAsia="仿宋"/>
                <w:color w:val="000000" w:themeColor="text1"/>
                <w:sz w:val="24"/>
                <w:szCs w:val="24"/>
                <w14:textFill>
                  <w14:solidFill>
                    <w14:schemeClr w14:val="tx1"/>
                  </w14:solidFill>
                </w14:textFill>
              </w:rPr>
              <w:t>250 例次</w:t>
            </w:r>
          </w:p>
        </w:tc>
        <w:tc>
          <w:tcPr>
            <w:tcW w:w="5470" w:type="dxa"/>
            <w:vAlign w:val="center"/>
          </w:tcPr>
          <w:p>
            <w:pPr>
              <w:pStyle w:val="13"/>
              <w:spacing w:before="87"/>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每年参与临床治疗工作不少于 </w:t>
            </w:r>
            <w:r>
              <w:rPr>
                <w:rFonts w:ascii="仿宋" w:hAnsi="仿宋" w:eastAsia="仿宋"/>
                <w:color w:val="000000" w:themeColor="text1"/>
                <w:sz w:val="24"/>
                <w:szCs w:val="24"/>
                <w14:textFill>
                  <w14:solidFill>
                    <w14:schemeClr w14:val="tx1"/>
                  </w14:solidFill>
                </w14:textFill>
              </w:rPr>
              <w:t xml:space="preserve">40 </w:t>
            </w:r>
            <w:r>
              <w:rPr>
                <w:rFonts w:ascii="仿宋" w:hAnsi="仿宋" w:eastAsia="仿宋"/>
                <w:color w:val="000000" w:themeColor="text1"/>
                <w:spacing w:val="-54"/>
                <w:sz w:val="24"/>
                <w:szCs w:val="24"/>
                <w14:textFill>
                  <w14:solidFill>
                    <w14:schemeClr w14:val="tx1"/>
                  </w14:solidFill>
                </w14:textFill>
              </w:rPr>
              <w:t>例次</w:t>
            </w:r>
            <w:r>
              <w:rPr>
                <w:rFonts w:ascii="仿宋" w:hAnsi="仿宋" w:eastAsia="仿宋"/>
                <w:color w:val="000000" w:themeColor="text1"/>
                <w:sz w:val="24"/>
                <w:szCs w:val="24"/>
                <w14:textFill>
                  <w14:solidFill>
                    <w14:schemeClr w14:val="tx1"/>
                  </w14:solidFill>
                </w14:textFill>
              </w:rPr>
              <w:t>（包括中药咨询</w:t>
            </w:r>
            <w:r>
              <w:rPr>
                <w:rFonts w:ascii="仿宋" w:hAnsi="仿宋" w:eastAsia="仿宋"/>
                <w:color w:val="000000" w:themeColor="text1"/>
                <w:spacing w:val="-14"/>
                <w:sz w:val="24"/>
                <w:szCs w:val="24"/>
                <w14:textFill>
                  <w14:solidFill>
                    <w14:schemeClr w14:val="tx1"/>
                  </w14:solidFill>
                </w14:textFill>
              </w:rPr>
              <w:t>、 药学查房、疑难病例讨论、会诊、患者用药教育、合理</w:t>
            </w:r>
            <w:r>
              <w:rPr>
                <w:rFonts w:ascii="仿宋" w:hAnsi="仿宋" w:eastAsia="仿宋"/>
                <w:color w:val="000000" w:themeColor="text1"/>
                <w:spacing w:val="-12"/>
                <w:sz w:val="24"/>
                <w:szCs w:val="24"/>
                <w14:textFill>
                  <w14:solidFill>
                    <w14:schemeClr w14:val="tx1"/>
                  </w14:solidFill>
                </w14:textFill>
              </w:rPr>
              <w:t>用药分析、药品不良反应上报、药学门诊、治疗药物监</w:t>
            </w:r>
            <w:r>
              <w:rPr>
                <w:rFonts w:ascii="仿宋" w:hAnsi="仿宋" w:eastAsia="仿宋"/>
                <w:color w:val="000000" w:themeColor="text1"/>
                <w:spacing w:val="-30"/>
                <w:sz w:val="24"/>
                <w:szCs w:val="24"/>
                <w14:textFill>
                  <w14:solidFill>
                    <w14:schemeClr w14:val="tx1"/>
                  </w14:solidFill>
                </w14:textFill>
              </w:rPr>
              <w:t xml:space="preserve">测 </w:t>
            </w:r>
            <w:r>
              <w:rPr>
                <w:rFonts w:ascii="仿宋" w:hAnsi="仿宋" w:eastAsia="仿宋"/>
                <w:color w:val="000000" w:themeColor="text1"/>
                <w:sz w:val="24"/>
                <w:szCs w:val="24"/>
                <w14:textFill>
                  <w14:solidFill>
                    <w14:schemeClr w14:val="tx1"/>
                  </w14:solidFill>
                </w14:textFill>
              </w:rPr>
              <w:t>TDM 或基因检测等</w:t>
            </w:r>
            <w:r>
              <w:rPr>
                <w:rFonts w:ascii="仿宋" w:hAnsi="仿宋" w:eastAsia="仿宋"/>
                <w:color w:val="000000" w:themeColor="text1"/>
                <w:spacing w:val="-112"/>
                <w:sz w:val="24"/>
                <w:szCs w:val="24"/>
                <w14:textFill>
                  <w14:solidFill>
                    <w14:schemeClr w14:val="tx1"/>
                  </w14:solidFill>
                </w14:textFill>
              </w:rPr>
              <w:t>）</w:t>
            </w:r>
            <w:r>
              <w:rPr>
                <w:rFonts w:ascii="仿宋" w:hAnsi="仿宋" w:eastAsia="仿宋"/>
                <w:color w:val="000000" w:themeColor="text1"/>
                <w:spacing w:val="-16"/>
                <w:sz w:val="24"/>
                <w:szCs w:val="24"/>
                <w14:textFill>
                  <w14:solidFill>
                    <w14:schemeClr w14:val="tx1"/>
                  </w14:solidFill>
                </w14:textFill>
              </w:rPr>
              <w:t xml:space="preserve">；或晋升周期内完成不少于 </w:t>
            </w:r>
            <w:r>
              <w:rPr>
                <w:rFonts w:ascii="仿宋" w:hAnsi="仿宋" w:eastAsia="仿宋"/>
                <w:color w:val="000000" w:themeColor="text1"/>
                <w:spacing w:val="-5"/>
                <w:sz w:val="24"/>
                <w:szCs w:val="24"/>
                <w14:textFill>
                  <w14:solidFill>
                    <w14:schemeClr w14:val="tx1"/>
                  </w14:solidFill>
                </w14:textFill>
              </w:rPr>
              <w:t xml:space="preserve">200 </w:t>
            </w:r>
            <w:r>
              <w:rPr>
                <w:rFonts w:ascii="仿宋" w:hAnsi="仿宋" w:eastAsia="仿宋"/>
                <w:color w:val="000000" w:themeColor="text1"/>
                <w:sz w:val="24"/>
                <w:szCs w:val="24"/>
                <w14:textFill>
                  <w14:solidFill>
                    <w14:schemeClr w14:val="tx1"/>
                  </w14:solidFill>
                </w14:textFill>
              </w:rPr>
              <w:t>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2093" w:type="dxa"/>
            <w:vAlign w:val="center"/>
          </w:tcPr>
          <w:p>
            <w:pPr>
              <w:pStyle w:val="13"/>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中药处方（医嘱</w:t>
            </w:r>
            <w:r>
              <w:rPr>
                <w:rFonts w:ascii="仿宋" w:hAnsi="仿宋" w:eastAsia="仿宋"/>
                <w:color w:val="000000" w:themeColor="text1"/>
                <w:spacing w:val="-32"/>
                <w:sz w:val="24"/>
                <w:szCs w:val="24"/>
                <w14:textFill>
                  <w14:solidFill>
                    <w14:schemeClr w14:val="tx1"/>
                  </w14:solidFill>
                </w14:textFill>
              </w:rPr>
              <w:t>）</w:t>
            </w:r>
            <w:r>
              <w:rPr>
                <w:rFonts w:ascii="仿宋" w:hAnsi="仿宋" w:eastAsia="仿宋"/>
                <w:color w:val="000000" w:themeColor="text1"/>
                <w:spacing w:val="-9"/>
                <w:sz w:val="24"/>
                <w:szCs w:val="24"/>
                <w14:textFill>
                  <w14:solidFill>
                    <w14:schemeClr w14:val="tx1"/>
                  </w14:solidFill>
                </w14:textFill>
              </w:rPr>
              <w:t>点评</w:t>
            </w:r>
            <w:r>
              <w:rPr>
                <w:rFonts w:ascii="仿宋" w:hAnsi="仿宋" w:eastAsia="仿宋"/>
                <w:color w:val="000000" w:themeColor="text1"/>
                <w:sz w:val="24"/>
                <w:szCs w:val="24"/>
                <w14:textFill>
                  <w14:solidFill>
                    <w14:schemeClr w14:val="tx1"/>
                  </w14:solidFill>
                </w14:textFill>
              </w:rPr>
              <w:t>工作量</w:t>
            </w:r>
          </w:p>
        </w:tc>
        <w:tc>
          <w:tcPr>
            <w:tcW w:w="709" w:type="dxa"/>
            <w:vAlign w:val="center"/>
          </w:tcPr>
          <w:p>
            <w:pPr>
              <w:pStyle w:val="13"/>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张（份）</w:t>
            </w:r>
          </w:p>
        </w:tc>
        <w:tc>
          <w:tcPr>
            <w:tcW w:w="5562" w:type="dxa"/>
            <w:vAlign w:val="center"/>
          </w:tcPr>
          <w:p>
            <w:pPr>
              <w:pStyle w:val="13"/>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门急诊中药处方点评每年不少于 </w:t>
            </w:r>
            <w:r>
              <w:rPr>
                <w:rFonts w:ascii="仿宋" w:hAnsi="仿宋" w:eastAsia="仿宋"/>
                <w:color w:val="000000" w:themeColor="text1"/>
                <w:sz w:val="24"/>
                <w:szCs w:val="24"/>
                <w14:textFill>
                  <w14:solidFill>
                    <w14:schemeClr w14:val="tx1"/>
                  </w14:solidFill>
                </w14:textFill>
              </w:rPr>
              <w:t>1000</w:t>
            </w:r>
            <w:r>
              <w:rPr>
                <w:rFonts w:ascii="仿宋" w:hAnsi="仿宋" w:eastAsia="仿宋"/>
                <w:color w:val="000000" w:themeColor="text1"/>
                <w:spacing w:val="14"/>
                <w:sz w:val="24"/>
                <w:szCs w:val="24"/>
                <w14:textFill>
                  <w14:solidFill>
                    <w14:schemeClr w14:val="tx1"/>
                  </w14:solidFill>
                </w14:textFill>
              </w:rPr>
              <w:t xml:space="preserve"> </w:t>
            </w:r>
            <w:r>
              <w:rPr>
                <w:rFonts w:ascii="仿宋" w:hAnsi="仿宋" w:eastAsia="仿宋"/>
                <w:color w:val="000000" w:themeColor="text1"/>
                <w:spacing w:val="-2"/>
                <w:sz w:val="24"/>
                <w:szCs w:val="24"/>
                <w14:textFill>
                  <w14:solidFill>
                    <w14:schemeClr w14:val="tx1"/>
                  </w14:solidFill>
                </w14:textFill>
              </w:rPr>
              <w:t>张或中药医嘱</w:t>
            </w:r>
            <w:r>
              <w:rPr>
                <w:rFonts w:ascii="仿宋" w:hAnsi="仿宋" w:eastAsia="仿宋"/>
                <w:color w:val="000000" w:themeColor="text1"/>
                <w:spacing w:val="-8"/>
                <w:sz w:val="24"/>
                <w:szCs w:val="24"/>
                <w14:textFill>
                  <w14:solidFill>
                    <w14:schemeClr w14:val="tx1"/>
                  </w14:solidFill>
                </w14:textFill>
              </w:rPr>
              <w:t xml:space="preserve">点评每年不少于 </w:t>
            </w:r>
            <w:r>
              <w:rPr>
                <w:rFonts w:ascii="仿宋" w:hAnsi="仿宋" w:eastAsia="仿宋"/>
                <w:color w:val="000000" w:themeColor="text1"/>
                <w:sz w:val="24"/>
                <w:szCs w:val="24"/>
                <w14:textFill>
                  <w14:solidFill>
                    <w14:schemeClr w14:val="tx1"/>
                  </w14:solidFill>
                </w14:textFill>
              </w:rPr>
              <w:t xml:space="preserve">150 </w:t>
            </w:r>
            <w:r>
              <w:rPr>
                <w:rFonts w:ascii="仿宋" w:hAnsi="仿宋" w:eastAsia="仿宋"/>
                <w:color w:val="000000" w:themeColor="text1"/>
                <w:spacing w:val="-11"/>
                <w:sz w:val="24"/>
                <w:szCs w:val="24"/>
                <w14:textFill>
                  <w14:solidFill>
                    <w14:schemeClr w14:val="tx1"/>
                  </w14:solidFill>
                </w14:textFill>
              </w:rPr>
              <w:t>份病历；或晋升周期内点评不少</w:t>
            </w:r>
            <w:r>
              <w:rPr>
                <w:rFonts w:ascii="仿宋" w:hAnsi="仿宋" w:eastAsia="仿宋"/>
                <w:color w:val="000000" w:themeColor="text1"/>
                <w:sz w:val="24"/>
                <w:szCs w:val="24"/>
                <w14:textFill>
                  <w14:solidFill>
                    <w14:schemeClr w14:val="tx1"/>
                  </w14:solidFill>
                </w14:textFill>
              </w:rPr>
              <w:t>于 0.5 万张中药处方或 750 份中药医嘱</w:t>
            </w:r>
          </w:p>
        </w:tc>
        <w:tc>
          <w:tcPr>
            <w:tcW w:w="5470" w:type="dxa"/>
            <w:vAlign w:val="center"/>
          </w:tcPr>
          <w:p>
            <w:pPr>
              <w:pStyle w:val="13"/>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
                <w:sz w:val="24"/>
                <w:szCs w:val="24"/>
                <w14:textFill>
                  <w14:solidFill>
                    <w14:schemeClr w14:val="tx1"/>
                  </w14:solidFill>
                </w14:textFill>
              </w:rPr>
              <w:t xml:space="preserve">门急诊中药处方点评每年不少于 </w:t>
            </w:r>
            <w:r>
              <w:rPr>
                <w:rFonts w:ascii="仿宋" w:hAnsi="仿宋" w:eastAsia="仿宋"/>
                <w:color w:val="000000" w:themeColor="text1"/>
                <w:sz w:val="24"/>
                <w:szCs w:val="24"/>
                <w14:textFill>
                  <w14:solidFill>
                    <w14:schemeClr w14:val="tx1"/>
                  </w14:solidFill>
                </w14:textFill>
              </w:rPr>
              <w:t>800</w:t>
            </w:r>
            <w:r>
              <w:rPr>
                <w:rFonts w:ascii="仿宋" w:hAnsi="仿宋" w:eastAsia="仿宋"/>
                <w:color w:val="000000" w:themeColor="text1"/>
                <w:spacing w:val="4"/>
                <w:sz w:val="24"/>
                <w:szCs w:val="24"/>
                <w14:textFill>
                  <w14:solidFill>
                    <w14:schemeClr w14:val="tx1"/>
                  </w14:solidFill>
                </w14:textFill>
              </w:rPr>
              <w:t xml:space="preserve"> </w:t>
            </w:r>
            <w:r>
              <w:rPr>
                <w:rFonts w:ascii="仿宋" w:hAnsi="仿宋" w:eastAsia="仿宋"/>
                <w:color w:val="000000" w:themeColor="text1"/>
                <w:spacing w:val="3"/>
                <w:sz w:val="24"/>
                <w:szCs w:val="24"/>
                <w14:textFill>
                  <w14:solidFill>
                    <w14:schemeClr w14:val="tx1"/>
                  </w14:solidFill>
                </w14:textFill>
              </w:rPr>
              <w:t>份或中药医嘱点</w:t>
            </w:r>
            <w:r>
              <w:rPr>
                <w:rFonts w:ascii="仿宋" w:hAnsi="仿宋" w:eastAsia="仿宋"/>
                <w:color w:val="000000" w:themeColor="text1"/>
                <w:spacing w:val="-6"/>
                <w:sz w:val="24"/>
                <w:szCs w:val="24"/>
                <w14:textFill>
                  <w14:solidFill>
                    <w14:schemeClr w14:val="tx1"/>
                  </w14:solidFill>
                </w14:textFill>
              </w:rPr>
              <w:t xml:space="preserve">评每年不少于 </w:t>
            </w:r>
            <w:r>
              <w:rPr>
                <w:rFonts w:ascii="仿宋" w:hAnsi="仿宋" w:eastAsia="仿宋"/>
                <w:color w:val="000000" w:themeColor="text1"/>
                <w:sz w:val="24"/>
                <w:szCs w:val="24"/>
                <w14:textFill>
                  <w14:solidFill>
                    <w14:schemeClr w14:val="tx1"/>
                  </w14:solidFill>
                </w14:textFill>
              </w:rPr>
              <w:t>120</w:t>
            </w:r>
            <w:r>
              <w:rPr>
                <w:rFonts w:ascii="仿宋" w:hAnsi="仿宋" w:eastAsia="仿宋"/>
                <w:color w:val="000000" w:themeColor="text1"/>
                <w:spacing w:val="7"/>
                <w:sz w:val="24"/>
                <w:szCs w:val="24"/>
                <w14:textFill>
                  <w14:solidFill>
                    <w14:schemeClr w14:val="tx1"/>
                  </w14:solidFill>
                </w14:textFill>
              </w:rPr>
              <w:t xml:space="preserve"> </w:t>
            </w:r>
            <w:r>
              <w:rPr>
                <w:rFonts w:ascii="仿宋" w:hAnsi="仿宋" w:eastAsia="仿宋"/>
                <w:color w:val="000000" w:themeColor="text1"/>
                <w:spacing w:val="3"/>
                <w:sz w:val="24"/>
                <w:szCs w:val="24"/>
                <w14:textFill>
                  <w14:solidFill>
                    <w14:schemeClr w14:val="tx1"/>
                  </w14:solidFill>
                </w14:textFill>
              </w:rPr>
              <w:t>份病历；或晋升周期内点评不少于</w:t>
            </w:r>
            <w:r>
              <w:rPr>
                <w:rFonts w:ascii="仿宋" w:hAnsi="仿宋" w:eastAsia="仿宋"/>
                <w:color w:val="000000" w:themeColor="text1"/>
                <w:sz w:val="24"/>
                <w:szCs w:val="24"/>
                <w14:textFill>
                  <w14:solidFill>
                    <w14:schemeClr w14:val="tx1"/>
                  </w14:solidFill>
                </w14:textFill>
              </w:rPr>
              <w:t>4000 张中药处方或 600 份中药医嘱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pStyle w:val="13"/>
              <w:spacing w:before="1"/>
              <w:ind w:left="1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8"/>
                <w:sz w:val="24"/>
                <w:szCs w:val="24"/>
                <w14:textFill>
                  <w14:solidFill>
                    <w14:schemeClr w14:val="tx1"/>
                  </w14:solidFill>
                </w14:textFill>
              </w:rPr>
              <w:t>药物临床试验</w:t>
            </w: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1"/>
                <w:sz w:val="24"/>
                <w:szCs w:val="24"/>
                <w14:textFill>
                  <w14:solidFill>
                    <w14:schemeClr w14:val="tx1"/>
                  </w14:solidFill>
                </w14:textFill>
              </w:rPr>
              <w:t>G</w:t>
            </w:r>
            <w:r>
              <w:rPr>
                <w:rFonts w:ascii="仿宋" w:hAnsi="仿宋" w:eastAsia="仿宋"/>
                <w:color w:val="000000" w:themeColor="text1"/>
                <w:sz w:val="24"/>
                <w:szCs w:val="24"/>
                <w14:textFill>
                  <w14:solidFill>
                    <w14:schemeClr w14:val="tx1"/>
                  </w14:solidFill>
                </w14:textFill>
              </w:rPr>
              <w:t>CP</w:t>
            </w:r>
            <w:r>
              <w:rPr>
                <w:rFonts w:ascii="仿宋" w:hAnsi="仿宋" w:eastAsia="仿宋"/>
                <w:color w:val="000000" w:themeColor="text1"/>
                <w:spacing w:val="-99"/>
                <w:sz w:val="24"/>
                <w:szCs w:val="24"/>
                <w14:textFill>
                  <w14:solidFill>
                    <w14:schemeClr w14:val="tx1"/>
                  </w14:solidFill>
                </w14:textFill>
              </w:rPr>
              <w:t>）</w:t>
            </w:r>
            <w:r>
              <w:rPr>
                <w:rFonts w:ascii="仿宋" w:hAnsi="仿宋" w:eastAsia="仿宋"/>
                <w:color w:val="000000" w:themeColor="text1"/>
                <w:spacing w:val="-4"/>
                <w:sz w:val="24"/>
                <w:szCs w:val="24"/>
                <w14:textFill>
                  <w14:solidFill>
                    <w14:schemeClr w14:val="tx1"/>
                  </w14:solidFill>
                </w14:textFill>
              </w:rPr>
              <w:t>工作量</w:t>
            </w:r>
          </w:p>
          <w:p>
            <w:pPr>
              <w:pStyle w:val="13"/>
              <w:spacing w:before="11" w:line="249" w:lineRule="auto"/>
              <w:ind w:left="14" w:right="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100"/>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 xml:space="preserve">GCP </w:t>
            </w:r>
            <w:r>
              <w:rPr>
                <w:rFonts w:ascii="仿宋" w:hAnsi="仿宋" w:eastAsia="仿宋"/>
                <w:color w:val="000000" w:themeColor="text1"/>
                <w:spacing w:val="8"/>
                <w:sz w:val="24"/>
                <w:szCs w:val="24"/>
                <w14:textFill>
                  <w14:solidFill>
                    <w14:schemeClr w14:val="tx1"/>
                  </w14:solidFill>
                </w14:textFill>
              </w:rPr>
              <w:t>药师岗</w:t>
            </w:r>
            <w:r>
              <w:rPr>
                <w:rFonts w:ascii="仿宋" w:hAnsi="仿宋" w:eastAsia="仿宋"/>
                <w:color w:val="000000" w:themeColor="text1"/>
                <w:sz w:val="24"/>
                <w:szCs w:val="24"/>
                <w14:textFill>
                  <w14:solidFill>
                    <w14:schemeClr w14:val="tx1"/>
                  </w14:solidFill>
                </w14:textFill>
              </w:rPr>
              <w:t>位）</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项目数</w:t>
            </w:r>
          </w:p>
        </w:tc>
        <w:tc>
          <w:tcPr>
            <w:tcW w:w="5562" w:type="dxa"/>
            <w:vAlign w:val="center"/>
          </w:tcPr>
          <w:p>
            <w:pPr>
              <w:pStyle w:val="13"/>
              <w:spacing w:before="230" w:line="249" w:lineRule="auto"/>
              <w:ind w:left="15"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8"/>
                <w:sz w:val="24"/>
                <w:szCs w:val="24"/>
                <w14:textFill>
                  <w14:solidFill>
                    <w14:schemeClr w14:val="tx1"/>
                  </w14:solidFill>
                </w14:textFill>
              </w:rPr>
              <w:t>晋升周期内参</w:t>
            </w:r>
            <w:r>
              <w:rPr>
                <w:rFonts w:ascii="仿宋" w:hAnsi="仿宋" w:eastAsia="仿宋"/>
                <w:color w:val="000000" w:themeColor="text1"/>
                <w:spacing w:val="-12"/>
                <w:sz w:val="24"/>
                <w:szCs w:val="24"/>
                <w14:textFill>
                  <w14:solidFill>
                    <w14:schemeClr w14:val="tx1"/>
                  </w14:solidFill>
                </w14:textFill>
              </w:rPr>
              <w:t>与</w:t>
            </w:r>
            <w:r>
              <w:rPr>
                <w:rFonts w:ascii="仿宋" w:hAnsi="仿宋" w:eastAsia="仿宋"/>
                <w:color w:val="000000" w:themeColor="text1"/>
                <w:sz w:val="24"/>
                <w:szCs w:val="24"/>
                <w14:textFill>
                  <w14:solidFill>
                    <w14:schemeClr w14:val="tx1"/>
                  </w14:solidFill>
                </w14:textFill>
              </w:rPr>
              <w:t xml:space="preserve">GCP </w:t>
            </w:r>
            <w:r>
              <w:rPr>
                <w:rFonts w:ascii="仿宋" w:hAnsi="仿宋" w:eastAsia="仿宋"/>
                <w:color w:val="000000" w:themeColor="text1"/>
                <w:spacing w:val="-8"/>
                <w:sz w:val="24"/>
                <w:szCs w:val="24"/>
                <w14:textFill>
                  <w14:solidFill>
                    <w14:schemeClr w14:val="tx1"/>
                  </w14:solidFill>
                </w14:textFill>
              </w:rPr>
              <w:t>项目工作</w:t>
            </w:r>
            <w:r>
              <w:rPr>
                <w:rFonts w:ascii="仿宋" w:hAnsi="仿宋" w:eastAsia="仿宋"/>
                <w:color w:val="000000" w:themeColor="text1"/>
                <w:spacing w:val="-12"/>
                <w:sz w:val="24"/>
                <w:szCs w:val="24"/>
                <w14:textFill>
                  <w14:solidFill>
                    <w14:schemeClr w14:val="tx1"/>
                  </w14:solidFill>
                </w14:textFill>
              </w:rPr>
              <w:t>不少于</w:t>
            </w:r>
            <w:r>
              <w:rPr>
                <w:rFonts w:hint="eastAsia" w:ascii="仿宋" w:hAnsi="仿宋" w:eastAsia="仿宋"/>
                <w:b/>
                <w:bCs/>
                <w:color w:val="000000" w:themeColor="text1"/>
                <w:spacing w:val="-12"/>
                <w:sz w:val="24"/>
                <w:szCs w:val="24"/>
                <w:lang w:val="en-US"/>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项</w:t>
            </w:r>
          </w:p>
        </w:tc>
        <w:tc>
          <w:tcPr>
            <w:tcW w:w="5470" w:type="dxa"/>
            <w:vAlign w:val="center"/>
          </w:tcPr>
          <w:p>
            <w:pPr>
              <w:pStyle w:val="13"/>
              <w:spacing w:before="230" w:line="249" w:lineRule="auto"/>
              <w:ind w:left="13"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8"/>
                <w:sz w:val="24"/>
                <w:szCs w:val="24"/>
                <w14:textFill>
                  <w14:solidFill>
                    <w14:schemeClr w14:val="tx1"/>
                  </w14:solidFill>
                </w14:textFill>
              </w:rPr>
              <w:t>晋升周期内</w:t>
            </w:r>
            <w:r>
              <w:rPr>
                <w:rFonts w:hint="eastAsia" w:ascii="仿宋" w:hAnsi="仿宋" w:eastAsia="仿宋"/>
                <w:color w:val="000000" w:themeColor="text1"/>
                <w:spacing w:val="-8"/>
                <w:sz w:val="24"/>
                <w:szCs w:val="24"/>
                <w14:textFill>
                  <w14:solidFill>
                    <w14:schemeClr w14:val="tx1"/>
                  </w14:solidFill>
                </w14:textFill>
              </w:rPr>
              <w:t>主持</w:t>
            </w:r>
            <w:r>
              <w:rPr>
                <w:rFonts w:ascii="仿宋" w:hAnsi="仿宋" w:eastAsia="仿宋"/>
                <w:color w:val="000000" w:themeColor="text1"/>
                <w:spacing w:val="-12"/>
                <w:sz w:val="24"/>
                <w:szCs w:val="24"/>
                <w14:textFill>
                  <w14:solidFill>
                    <w14:schemeClr w14:val="tx1"/>
                  </w14:solidFill>
                </w14:textFill>
              </w:rPr>
              <w:t>与</w:t>
            </w:r>
            <w:r>
              <w:rPr>
                <w:rFonts w:ascii="仿宋" w:hAnsi="仿宋" w:eastAsia="仿宋"/>
                <w:color w:val="000000" w:themeColor="text1"/>
                <w:sz w:val="24"/>
                <w:szCs w:val="24"/>
                <w14:textFill>
                  <w14:solidFill>
                    <w14:schemeClr w14:val="tx1"/>
                  </w14:solidFill>
                </w14:textFill>
              </w:rPr>
              <w:t xml:space="preserve">GCP </w:t>
            </w:r>
            <w:r>
              <w:rPr>
                <w:rFonts w:ascii="仿宋" w:hAnsi="仿宋" w:eastAsia="仿宋"/>
                <w:color w:val="000000" w:themeColor="text1"/>
                <w:spacing w:val="-8"/>
                <w:sz w:val="24"/>
                <w:szCs w:val="24"/>
                <w14:textFill>
                  <w14:solidFill>
                    <w14:schemeClr w14:val="tx1"/>
                  </w14:solidFill>
                </w14:textFill>
              </w:rPr>
              <w:t>项目工作</w:t>
            </w:r>
            <w:r>
              <w:rPr>
                <w:rFonts w:ascii="仿宋" w:hAnsi="仿宋" w:eastAsia="仿宋"/>
                <w:color w:val="000000" w:themeColor="text1"/>
                <w:spacing w:val="-12"/>
                <w:sz w:val="24"/>
                <w:szCs w:val="24"/>
                <w14:textFill>
                  <w14:solidFill>
                    <w14:schemeClr w14:val="tx1"/>
                  </w14:solidFill>
                </w14:textFill>
              </w:rPr>
              <w:t>不少于</w:t>
            </w:r>
            <w:r>
              <w:rPr>
                <w:rFonts w:hint="eastAsia" w:ascii="仿宋" w:hAnsi="仿宋" w:eastAsia="仿宋"/>
                <w:b/>
                <w:bCs/>
                <w:color w:val="000000" w:themeColor="text1"/>
                <w:spacing w:val="-12"/>
                <w:sz w:val="24"/>
                <w:szCs w:val="24"/>
                <w:lang w:val="en-US"/>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项</w:t>
            </w:r>
          </w:p>
        </w:tc>
      </w:tr>
    </w:tbl>
    <w:p>
      <w:pPr>
        <w:spacing w:before="74"/>
        <w:ind w:left="133"/>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注：1.申报人员除应满足“专业工作时间”外，还应满足评价项目中其余任意一项评价项目。</w:t>
      </w:r>
    </w:p>
    <w:p>
      <w:pPr>
        <w:pStyle w:val="15"/>
        <w:tabs>
          <w:tab w:val="left" w:pos="795"/>
        </w:tabs>
        <w:spacing w:before="12"/>
        <w:ind w:left="613" w:firstLine="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pacing w:val="-5"/>
          <w:sz w:val="24"/>
          <w14:textFill>
            <w14:solidFill>
              <w14:schemeClr w14:val="tx1"/>
            </w14:solidFill>
          </w14:textFill>
        </w:rPr>
        <w:t xml:space="preserve">2. </w:t>
      </w:r>
      <w:r>
        <w:rPr>
          <w:rFonts w:ascii="楷体" w:hAnsi="楷体" w:eastAsia="楷体"/>
          <w:color w:val="000000" w:themeColor="text1"/>
          <w:spacing w:val="-5"/>
          <w:sz w:val="24"/>
          <w14:textFill>
            <w14:solidFill>
              <w14:schemeClr w14:val="tx1"/>
            </w14:solidFill>
          </w14:textFill>
        </w:rPr>
        <w:t xml:space="preserve">本表中晋升周期内的工作量，申报副主任药师，是按照受聘主管药师 </w:t>
      </w:r>
      <w:r>
        <w:rPr>
          <w:rFonts w:ascii="楷体" w:hAnsi="楷体" w:eastAsia="楷体"/>
          <w:color w:val="000000" w:themeColor="text1"/>
          <w:sz w:val="24"/>
          <w14:textFill>
            <w14:solidFill>
              <w14:schemeClr w14:val="tx1"/>
            </w14:solidFill>
          </w14:textFill>
        </w:rPr>
        <w:t xml:space="preserve">5 </w:t>
      </w:r>
      <w:r>
        <w:rPr>
          <w:rFonts w:ascii="楷体" w:hAnsi="楷体" w:eastAsia="楷体"/>
          <w:color w:val="000000" w:themeColor="text1"/>
          <w:spacing w:val="-16"/>
          <w:sz w:val="24"/>
          <w14:textFill>
            <w14:solidFill>
              <w14:schemeClr w14:val="tx1"/>
            </w14:solidFill>
          </w14:textFill>
        </w:rPr>
        <w:t xml:space="preserve">年，每年 </w:t>
      </w:r>
      <w:r>
        <w:rPr>
          <w:rFonts w:ascii="楷体" w:hAnsi="楷体" w:eastAsia="楷体"/>
          <w:color w:val="000000" w:themeColor="text1"/>
          <w:sz w:val="24"/>
          <w14:textFill>
            <w14:solidFill>
              <w14:schemeClr w14:val="tx1"/>
            </w14:solidFill>
          </w14:textFill>
        </w:rPr>
        <w:t>40</w:t>
      </w:r>
      <w:r>
        <w:rPr>
          <w:rFonts w:ascii="楷体" w:hAnsi="楷体" w:eastAsia="楷体"/>
          <w:color w:val="000000" w:themeColor="text1"/>
          <w:spacing w:val="1"/>
          <w:sz w:val="24"/>
          <w14:textFill>
            <w14:solidFill>
              <w14:schemeClr w14:val="tx1"/>
            </w14:solidFill>
          </w14:textFill>
        </w:rPr>
        <w:t xml:space="preserve"> </w:t>
      </w:r>
      <w:r>
        <w:rPr>
          <w:rFonts w:ascii="楷体" w:hAnsi="楷体" w:eastAsia="楷体"/>
          <w:color w:val="000000" w:themeColor="text1"/>
          <w:spacing w:val="-5"/>
          <w:sz w:val="24"/>
          <w14:textFill>
            <w14:solidFill>
              <w14:schemeClr w14:val="tx1"/>
            </w14:solidFill>
          </w14:textFill>
        </w:rPr>
        <w:t>周计算总工作量；申报主任药师，是按照受聘副主任药</w:t>
      </w:r>
      <w:r>
        <w:rPr>
          <w:rFonts w:ascii="楷体" w:hAnsi="楷体" w:eastAsia="楷体"/>
          <w:color w:val="000000" w:themeColor="text1"/>
          <w:sz w:val="24"/>
          <w14:textFill>
            <w14:solidFill>
              <w14:schemeClr w14:val="tx1"/>
            </w14:solidFill>
          </w14:textFill>
        </w:rPr>
        <w:t>师，每年 35 周计算总工作量。</w:t>
      </w:r>
    </w:p>
    <w:p>
      <w:pPr>
        <w:tabs>
          <w:tab w:val="left" w:pos="795"/>
        </w:tabs>
        <w:spacing w:before="12"/>
        <w:ind w:left="613"/>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3.</w:t>
      </w:r>
      <w:r>
        <w:rPr>
          <w:rFonts w:ascii="楷体" w:hAnsi="楷体" w:eastAsia="楷体"/>
          <w:color w:val="000000" w:themeColor="text1"/>
          <w:sz w:val="24"/>
          <w14:textFill>
            <w14:solidFill>
              <w14:schemeClr w14:val="tx1"/>
            </w14:solidFill>
          </w14:textFill>
        </w:rPr>
        <w:t>中药处方包括中药饮片（含散装中药饮片、小包装中药饮片、中药配方颗粒）处方和中成药（含医疗机构中药制剂）处方。</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pacing w:val="-4"/>
          <w:sz w:val="24"/>
          <w14:textFill>
            <w14:solidFill>
              <w14:schemeClr w14:val="tx1"/>
            </w14:solidFill>
          </w14:textFill>
        </w:rPr>
        <w:t xml:space="preserve">晋升周期内从事不同岗位的申报人员，按 </w:t>
      </w:r>
      <w:r>
        <w:rPr>
          <w:rFonts w:ascii="楷体" w:hAnsi="楷体" w:eastAsia="楷体"/>
          <w:color w:val="000000" w:themeColor="text1"/>
          <w:sz w:val="24"/>
          <w14:textFill>
            <w14:solidFill>
              <w14:schemeClr w14:val="tx1"/>
            </w14:solidFill>
          </w14:textFill>
        </w:rPr>
        <w:t xml:space="preserve">5 </w:t>
      </w:r>
      <w:r>
        <w:rPr>
          <w:rFonts w:ascii="楷体" w:hAnsi="楷体" w:eastAsia="楷体"/>
          <w:color w:val="000000" w:themeColor="text1"/>
          <w:spacing w:val="-7"/>
          <w:sz w:val="24"/>
          <w14:textFill>
            <w14:solidFill>
              <w14:schemeClr w14:val="tx1"/>
            </w14:solidFill>
          </w14:textFill>
        </w:rPr>
        <w:t xml:space="preserve">年晋升周期工作量 </w:t>
      </w:r>
      <w:r>
        <w:rPr>
          <w:rFonts w:ascii="楷体" w:hAnsi="楷体" w:eastAsia="楷体"/>
          <w:color w:val="000000" w:themeColor="text1"/>
          <w:sz w:val="24"/>
          <w14:textFill>
            <w14:solidFill>
              <w14:schemeClr w14:val="tx1"/>
            </w14:solidFill>
          </w14:textFill>
        </w:rPr>
        <w:t>100%计，不同岗位累计完成工作量比例之和≥100%即可。</w:t>
      </w:r>
    </w:p>
    <w:p>
      <w:pPr>
        <w:tabs>
          <w:tab w:val="left" w:pos="795"/>
        </w:tabs>
        <w:spacing w:before="12"/>
        <w:rPr>
          <w:rFonts w:ascii="楷体" w:hAnsi="楷体" w:eastAsia="楷体"/>
          <w:color w:val="000000" w:themeColor="text1"/>
          <w:sz w:val="24"/>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河南省</w:t>
      </w:r>
      <w:r>
        <w:rPr>
          <w:rFonts w:asciiTheme="majorEastAsia" w:hAnsiTheme="majorEastAsia" w:eastAsiaTheme="majorEastAsia"/>
          <w:color w:val="000000" w:themeColor="text1"/>
          <w:sz w:val="44"/>
          <w:szCs w:val="44"/>
          <w14:textFill>
            <w14:solidFill>
              <w14:schemeClr w14:val="tx1"/>
            </w14:solidFill>
          </w14:textFill>
        </w:rPr>
        <w:t>卫生系列高级职称申报评审条件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（技术类）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一、为了客观、公正、科学地评价卫生专业技术人员的能力与水平，建立完善考评结合的人才评价机制，促进全省卫生人才队伍整体素质的提高，推动卫生健康事业的发展，根据</w:t>
      </w:r>
      <w:r>
        <w:rPr>
          <w:rFonts w:hint="eastAsia" w:ascii="仿宋_GB2312" w:eastAsia="仿宋_GB2312" w:cs="仿宋_GB2312"/>
          <w:color w:val="000000" w:themeColor="text1"/>
          <w:kern w:val="0"/>
          <w:sz w:val="32"/>
          <w:szCs w:val="32"/>
          <w14:textFill>
            <w14:solidFill>
              <w14:schemeClr w14:val="tx1"/>
            </w14:solidFill>
          </w14:textFill>
        </w:rPr>
        <w:t>人力资源社会保障部、国家卫生健康委、国家中医药局《关于深</w:t>
      </w:r>
      <w:r>
        <w:rPr>
          <w:rFonts w:hint="eastAsia" w:ascii="仿宋" w:hAnsi="仿宋" w:eastAsia="仿宋" w:cs="仿宋_GB2312"/>
          <w:color w:val="000000" w:themeColor="text1"/>
          <w:kern w:val="0"/>
          <w:sz w:val="32"/>
          <w:szCs w:val="32"/>
          <w14:textFill>
            <w14:solidFill>
              <w14:schemeClr w14:val="tx1"/>
            </w14:solidFill>
          </w14:textFill>
        </w:rPr>
        <w:t>化卫生专业技术人员职称制度改革的指导意见》（人社部发〔</w:t>
      </w:r>
      <w:r>
        <w:rPr>
          <w:rFonts w:ascii="仿宋" w:hAnsi="仿宋" w:eastAsia="仿宋" w:cs="TimesNewRomanPSMT"/>
          <w:color w:val="000000" w:themeColor="text1"/>
          <w:kern w:val="0"/>
          <w:sz w:val="32"/>
          <w:szCs w:val="32"/>
          <w14:textFill>
            <w14:solidFill>
              <w14:schemeClr w14:val="tx1"/>
            </w14:solidFill>
          </w14:textFill>
        </w:rPr>
        <w:t>2021</w:t>
      </w:r>
      <w:r>
        <w:rPr>
          <w:rFonts w:hint="eastAsia" w:ascii="仿宋" w:hAnsi="仿宋" w:eastAsia="仿宋" w:cs="仿宋_GB2312"/>
          <w:color w:val="000000" w:themeColor="text1"/>
          <w:kern w:val="0"/>
          <w:sz w:val="32"/>
          <w:szCs w:val="32"/>
          <w14:textFill>
            <w14:solidFill>
              <w14:schemeClr w14:val="tx1"/>
            </w14:solidFill>
          </w14:textFill>
        </w:rPr>
        <w:t>〕</w:t>
      </w:r>
      <w:r>
        <w:rPr>
          <w:rFonts w:ascii="仿宋" w:hAnsi="仿宋" w:eastAsia="仿宋" w:cs="TimesNewRomanPSMT"/>
          <w:color w:val="000000" w:themeColor="text1"/>
          <w:kern w:val="0"/>
          <w:sz w:val="32"/>
          <w:szCs w:val="32"/>
          <w14:textFill>
            <w14:solidFill>
              <w14:schemeClr w14:val="tx1"/>
            </w14:solidFill>
          </w14:textFill>
        </w:rPr>
        <w:t xml:space="preserve">51 </w:t>
      </w:r>
      <w:r>
        <w:rPr>
          <w:rFonts w:hint="eastAsia" w:ascii="仿宋" w:hAnsi="仿宋" w:eastAsia="仿宋" w:cs="仿宋_GB2312"/>
          <w:color w:val="000000" w:themeColor="text1"/>
          <w:kern w:val="0"/>
          <w:sz w:val="32"/>
          <w:szCs w:val="32"/>
          <w14:textFill>
            <w14:solidFill>
              <w14:schemeClr w14:val="tx1"/>
            </w14:solidFill>
          </w14:textFill>
        </w:rPr>
        <w:t>号）和</w:t>
      </w:r>
      <w:r>
        <w:rPr>
          <w:rFonts w:hint="eastAsia" w:ascii="仿宋" w:hAnsi="仿宋" w:eastAsia="仿宋"/>
          <w:color w:val="000000" w:themeColor="text1"/>
          <w:sz w:val="32"/>
          <w:szCs w:val="32"/>
          <w14:textFill>
            <w14:solidFill>
              <w14:schemeClr w14:val="tx1"/>
            </w14:solidFill>
          </w14:textFill>
        </w:rPr>
        <w:t>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二、卫生系列技术类专业副高级职称的名称为副主任技师，正高级职称的名称为主任技师。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三、卫生系列技术类专业高级职称采取考试与评审相结合的方式。业务水平考试合格者方可报送评审材料，考试成绩三年有效。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为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本条件适用于全省各级各类医疗卫生机构中从事技术类专业的卫生专业技术人员。适用专业包括：心电图技术、神经电生理（脑电图）技术、肿瘤放射治疗技术、康复医学技术、口腔医学技术、临床医学检验技术、微生物检验技术、理化检验技术、病理学技术、超声医学技术、核医学技术、放射医学技术、输血技术、病案信息技术、消毒技术、病媒生物控制技术、卫生毒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1.申报副主任技师职称，需具备相应专业大学本科及以上学历或学士及以上学位，受聘担任主管技师职务满5年。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2.申报主任技师职称，需具备相应专业大学本科及以上学历或学士及以上学位，受聘担任副主任技师职务满5年。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完成健康科普工作要求。开展健康科普知识宣讲，每年不少于2次；或者在各级主流媒体、省级以上行业报刊，发表健康科普文章、音视频作品，每年不少于1篇（条）；或者在各级卫生健康部门和县级以上医疗机构等新媒体平台，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（六）任现职以来完成规定的工作量要求（详见附表）。</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具有较丰富的本专业工作经验，能独立解决复杂或重大技术问题，具有指导本专业下级技师的能力，有带教2名卫生技术人员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技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技师的能力，有培养2名主管技师的经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工作业绩实行成果代表作制度。申报人员应提交任现职以来代表个人专业技术能力和水平的标志性工作业绩2项以上（第1项为必备）。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（1）解决本专业复杂问题形成的</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操作视频、应急处置情况报告等。须附相关原始资料。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篇（不少于2500字）；在省属医疗卫生机构工作的人员，</w:t>
      </w:r>
      <w:r>
        <w:rPr>
          <w:rFonts w:hint="eastAsia" w:ascii="仿宋" w:hAnsi="仿宋" w:eastAsia="仿宋"/>
          <w:color w:val="000000" w:themeColor="text1"/>
          <w:sz w:val="32"/>
          <w:szCs w:val="32"/>
          <w:lang w:eastAsia="zh-CN"/>
          <w14:textFill>
            <w14:solidFill>
              <w14:schemeClr w14:val="tx1"/>
            </w14:solidFill>
          </w14:textFill>
        </w:rPr>
        <w:t>至少有一篇</w:t>
      </w:r>
      <w:r>
        <w:rPr>
          <w:rFonts w:hint="eastAsia" w:ascii="仿宋" w:hAnsi="仿宋" w:eastAsia="仿宋"/>
          <w:color w:val="000000" w:themeColor="text1"/>
          <w:sz w:val="32"/>
          <w:szCs w:val="32"/>
          <w14:textFill>
            <w14:solidFill>
              <w14:schemeClr w14:val="tx1"/>
            </w14:solidFill>
          </w14:textFill>
        </w:rPr>
        <w:t>发表在二类以上学术期刊上。须附相关原始资料。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（4）获本专业省辖市（厅）级二等以上科技进步奖、科技成果奖（限前5名）；或获本专业省辖市（厅）级三等以上科技进步奖、科技成果奖（限前3名）。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（5）参与研究并形成的省级及以上技术规范、卫生标准、临床指南或专家共识1项（限前5名）。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（1）解决本专业复杂问题形成的临床病案报告、操作视频、</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应急处置情况报告、流行病学调查报告等。须附相关原始资料。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（2）主持完成市（厅）级以上科研课题1项，课题经费不少于2万元（限第1名）。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（3）结合本专业临床实践，在二类以上推荐学术期刊上发表的本专业论文2篇（每篇不少于2500字）。须附相关原始资料。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（4）获本专业省辖市（厅）级二等以上科技进步奖、科技成果奖（限前3名）；或获本专业省辖市（厅）级三等以上科技进步奖、科技成果奖（限前1名）。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（5）参与研究并形成的省级及以上技术规范、卫生标准、临床指南或专家共识1项（限前3名）。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（6）吸取新理论、新知识、新技术形成的与本专业相关的发明专利2项（限第1原始发明人）</w:t>
      </w:r>
      <w:bookmarkStart w:id="0" w:name="_GoBack"/>
      <w:bookmarkEnd w:id="0"/>
      <w:r>
        <w:rPr>
          <w:rFonts w:hint="eastAsia" w:ascii="仿宋" w:hAnsi="仿宋" w:eastAsia="仿宋"/>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技术类专业人员在任期内须每年向单位提交本人在实际工作中解决本专业复杂疑难问题或运用新知识、新技术、新成果开展业务工作的专题报告5份（每份2000字以上），并附原始临床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tabs>
          <w:tab w:val="left" w:pos="795"/>
        </w:tabs>
        <w:spacing w:before="12"/>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tabs>
          <w:tab w:val="left" w:pos="795"/>
        </w:tabs>
        <w:spacing w:before="12"/>
        <w:ind w:firstLine="640" w:firstLineChars="200"/>
        <w:rPr>
          <w:rFonts w:ascii="仿宋" w:hAnsi="仿宋" w:eastAsia="仿宋"/>
          <w:color w:val="000000" w:themeColor="text1"/>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hint="eastAsia" w:ascii="仿宋" w:hAnsi="仿宋" w:eastAsia="仿宋"/>
          <w:color w:val="000000" w:themeColor="text1"/>
          <w:sz w:val="32"/>
          <w:szCs w:val="32"/>
          <w14:textFill>
            <w14:solidFill>
              <w14:schemeClr w14:val="tx1"/>
            </w14:solidFill>
          </w14:textFill>
        </w:rPr>
        <w:t>八、本条件自  年  月  日起施行。</w:t>
      </w:r>
    </w:p>
    <w:p>
      <w:pPr>
        <w:tabs>
          <w:tab w:val="left" w:pos="795"/>
        </w:tabs>
        <w:spacing w:before="12"/>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p>
    <w:p>
      <w:pPr>
        <w:pStyle w:val="5"/>
        <w:shd w:val="clear" w:color="auto" w:fill="FFFFFF"/>
        <w:spacing w:before="0" w:beforeAutospacing="0" w:after="0" w:afterAutospacing="0"/>
        <w:jc w:val="center"/>
        <w:rPr>
          <w:rFonts w:asciiTheme="minorEastAsia" w:hAnsiTheme="minorEastAsia" w:eastAsiaTheme="minorEastAsia"/>
          <w:color w:val="000000" w:themeColor="text1"/>
          <w:sz w:val="44"/>
          <w:szCs w:val="44"/>
          <w14:textFill>
            <w14:solidFill>
              <w14:schemeClr w14:val="tx1"/>
            </w14:solidFill>
          </w14:textFill>
        </w:rPr>
      </w:pPr>
      <w:r>
        <w:rPr>
          <w:rFonts w:hint="eastAsia" w:asciiTheme="minorEastAsia" w:hAnsiTheme="minorEastAsia" w:eastAsiaTheme="minorEastAsia"/>
          <w:color w:val="000000" w:themeColor="text1"/>
          <w:sz w:val="44"/>
          <w:szCs w:val="44"/>
          <w14:textFill>
            <w14:solidFill>
              <w14:schemeClr w14:val="tx1"/>
            </w14:solidFill>
          </w14:textFill>
        </w:rPr>
        <w:t>医技专业晋升高级职称工作量要求</w:t>
      </w:r>
    </w:p>
    <w:tbl>
      <w:tblPr>
        <w:tblStyle w:val="8"/>
        <w:tblW w:w="1346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134"/>
        <w:gridCol w:w="3969"/>
        <w:gridCol w:w="425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5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评价项目</w:t>
            </w:r>
          </w:p>
        </w:tc>
        <w:tc>
          <w:tcPr>
            <w:tcW w:w="1134"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单位</w:t>
            </w:r>
          </w:p>
        </w:tc>
        <w:tc>
          <w:tcPr>
            <w:tcW w:w="396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晋升副主任</w:t>
            </w:r>
            <w:r>
              <w:rPr>
                <w:rFonts w:hint="eastAsia" w:ascii="黑体" w:hAnsi="黑体" w:eastAsia="黑体"/>
                <w:color w:val="000000" w:themeColor="text1"/>
                <w:sz w:val="24"/>
                <w:szCs w:val="24"/>
                <w:lang w:eastAsia="zh-CN"/>
                <w14:textFill>
                  <w14:solidFill>
                    <w14:schemeClr w14:val="tx1"/>
                  </w14:solidFill>
                </w14:textFill>
              </w:rPr>
              <w:t>技</w:t>
            </w:r>
            <w:r>
              <w:rPr>
                <w:rFonts w:ascii="黑体" w:hAnsi="黑体" w:eastAsia="黑体"/>
                <w:color w:val="000000" w:themeColor="text1"/>
                <w:sz w:val="24"/>
                <w:szCs w:val="24"/>
                <w14:textFill>
                  <w14:solidFill>
                    <w14:schemeClr w14:val="tx1"/>
                  </w14:solidFill>
                </w14:textFill>
              </w:rPr>
              <w:t>师</w:t>
            </w:r>
          </w:p>
        </w:tc>
        <w:tc>
          <w:tcPr>
            <w:tcW w:w="4253"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晋升主任</w:t>
            </w:r>
            <w:r>
              <w:rPr>
                <w:rFonts w:hint="eastAsia" w:ascii="黑体" w:hAnsi="黑体" w:eastAsia="黑体"/>
                <w:color w:val="000000" w:themeColor="text1"/>
                <w:sz w:val="24"/>
                <w:szCs w:val="24"/>
                <w:lang w:eastAsia="zh-CN"/>
                <w14:textFill>
                  <w14:solidFill>
                    <w14:schemeClr w14:val="tx1"/>
                  </w14:solidFill>
                </w14:textFill>
              </w:rPr>
              <w:t>技</w:t>
            </w:r>
            <w:r>
              <w:rPr>
                <w:rFonts w:ascii="黑体" w:hAnsi="黑体" w:eastAsia="黑体"/>
                <w:color w:val="000000" w:themeColor="text1"/>
                <w:sz w:val="24"/>
                <w:szCs w:val="24"/>
                <w14:textFill>
                  <w14:solidFill>
                    <w14:schemeClr w14:val="tx1"/>
                  </w14:solidFill>
                </w14:textFill>
              </w:rPr>
              <w:t>师</w:t>
            </w:r>
          </w:p>
        </w:tc>
        <w:tc>
          <w:tcPr>
            <w:tcW w:w="2551"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before="198"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工作时间</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周</w:t>
            </w:r>
          </w:p>
        </w:tc>
        <w:tc>
          <w:tcPr>
            <w:tcW w:w="3969"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担任主管技师期间</w:t>
            </w:r>
            <w:r>
              <w:rPr>
                <w:rFonts w:hint="eastAsia" w:ascii="仿宋" w:hAnsi="仿宋" w:eastAsia="仿宋"/>
                <w:color w:val="000000" w:themeColor="text1"/>
                <w:sz w:val="24"/>
                <w:szCs w:val="24"/>
                <w14:textFill>
                  <w14:solidFill>
                    <w14:schemeClr w14:val="tx1"/>
                  </w14:solidFill>
                </w14:textFill>
              </w:rPr>
              <w:t>，平均每年参加本专业工作时间不少于40周</w:t>
            </w:r>
          </w:p>
        </w:tc>
        <w:tc>
          <w:tcPr>
            <w:tcW w:w="4253" w:type="dxa"/>
            <w:vAlign w:val="center"/>
          </w:tcPr>
          <w:p>
            <w:pPr>
              <w:pStyle w:val="13"/>
              <w:tabs>
                <w:tab w:val="left" w:pos="4180"/>
              </w:tabs>
              <w:spacing w:before="198" w:line="252" w:lineRule="auto"/>
              <w:ind w:right="3"/>
              <w:jc w:val="both"/>
              <w:rPr>
                <w:rFonts w:ascii="仿宋" w:hAnsi="仿宋" w:eastAsia="仿宋"/>
                <w:color w:val="000000" w:themeColor="text1"/>
                <w:sz w:val="24"/>
                <w:szCs w:val="24"/>
                <w:lang w:val="en"/>
                <w14:textFill>
                  <w14:solidFill>
                    <w14:schemeClr w14:val="tx1"/>
                  </w14:solidFill>
                </w14:textFill>
              </w:rPr>
            </w:pPr>
            <w:r>
              <w:rPr>
                <w:rFonts w:hint="eastAsia" w:ascii="仿宋" w:hAnsi="仿宋" w:eastAsia="仿宋"/>
                <w:color w:val="000000" w:themeColor="text1"/>
                <w:sz w:val="24"/>
                <w:szCs w:val="24"/>
                <w:lang w:val="en"/>
                <w14:textFill>
                  <w14:solidFill>
                    <w14:schemeClr w14:val="tx1"/>
                  </w14:solidFill>
                </w14:textFill>
              </w:rPr>
              <w:t>担任副主任技师期间，平均每年参加本专业工作时间不少于35周。</w:t>
            </w:r>
          </w:p>
        </w:tc>
        <w:tc>
          <w:tcPr>
            <w:tcW w:w="2551" w:type="dxa"/>
            <w:vAlign w:val="center"/>
          </w:tcPr>
          <w:p>
            <w:pPr>
              <w:pStyle w:val="13"/>
              <w:tabs>
                <w:tab w:val="left" w:pos="4180"/>
              </w:tabs>
              <w:spacing w:before="198" w:line="252" w:lineRule="auto"/>
              <w:ind w:right="3"/>
              <w:jc w:val="both"/>
              <w:rPr>
                <w:rFonts w:ascii="仿宋" w:hAnsi="仿宋" w:eastAsia="仿宋"/>
                <w:color w:val="000000" w:themeColor="text1"/>
                <w:sz w:val="24"/>
                <w:szCs w:val="24"/>
                <w:lang w:val="en"/>
                <w14:textFill>
                  <w14:solidFill>
                    <w14:schemeClr w14:val="tx1"/>
                  </w14:solidFill>
                </w14:textFill>
              </w:rPr>
            </w:pPr>
            <w:r>
              <w:rPr>
                <w:rFonts w:hint="eastAsia" w:ascii="仿宋" w:hAnsi="仿宋" w:eastAsia="仿宋"/>
                <w:color w:val="000000" w:themeColor="text1"/>
                <w:sz w:val="24"/>
                <w:szCs w:val="24"/>
                <w:lang w:val="en"/>
                <w14:textFill>
                  <w14:solidFill>
                    <w14:schemeClr w14:val="tx1"/>
                  </w14:solidFill>
                </w14:textFill>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病历编码数量及修改病历编码数量</w:t>
            </w:r>
          </w:p>
        </w:tc>
        <w:tc>
          <w:tcPr>
            <w:tcW w:w="1134" w:type="dxa"/>
            <w:vAlign w:val="center"/>
          </w:tcPr>
          <w:p>
            <w:pPr>
              <w:pStyle w:val="13"/>
              <w:spacing w:before="16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份</w:t>
            </w:r>
          </w:p>
        </w:tc>
        <w:tc>
          <w:tcPr>
            <w:tcW w:w="3969"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编码病历数不少于</w:t>
            </w:r>
            <w:r>
              <w:rPr>
                <w:rFonts w:hint="eastAsia" w:ascii="仿宋" w:hAnsi="仿宋" w:eastAsia="仿宋"/>
                <w:color w:val="000000" w:themeColor="text1"/>
                <w:sz w:val="24"/>
                <w:szCs w:val="24"/>
                <w:lang w:val="en-US"/>
                <w14:textFill>
                  <w14:solidFill>
                    <w14:schemeClr w14:val="tx1"/>
                  </w14:solidFill>
                </w14:textFill>
              </w:rPr>
              <w:t>5000份；修改下级技师编码病历数不少于2500份</w:t>
            </w:r>
          </w:p>
        </w:tc>
        <w:tc>
          <w:tcPr>
            <w:tcW w:w="4253"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编码病历数不少于</w:t>
            </w:r>
            <w:r>
              <w:rPr>
                <w:rFonts w:hint="eastAsia" w:ascii="仿宋" w:hAnsi="仿宋" w:eastAsia="仿宋"/>
                <w:color w:val="000000" w:themeColor="text1"/>
                <w:sz w:val="24"/>
                <w:szCs w:val="24"/>
                <w:lang w:val="en-US"/>
                <w14:textFill>
                  <w14:solidFill>
                    <w14:schemeClr w14:val="tx1"/>
                  </w14:solidFill>
                </w14:textFill>
              </w:rPr>
              <w:t>5000份/年；修改下级技师编码病历数不少于2500份/年</w:t>
            </w:r>
          </w:p>
        </w:tc>
        <w:tc>
          <w:tcPr>
            <w:tcW w:w="2551"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病案信息技术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完成检测项目</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份</w:t>
            </w:r>
            <w:r>
              <w:rPr>
                <w:rFonts w:hint="eastAsia" w:ascii="仿宋" w:hAnsi="仿宋" w:eastAsia="仿宋"/>
                <w:color w:val="000000" w:themeColor="text1"/>
                <w:sz w:val="24"/>
                <w:szCs w:val="24"/>
                <w14:textFill>
                  <w14:solidFill>
                    <w14:schemeClr w14:val="tx1"/>
                  </w14:solidFill>
                </w14:textFill>
              </w:rPr>
              <w:t>/项</w:t>
            </w:r>
          </w:p>
        </w:tc>
        <w:tc>
          <w:tcPr>
            <w:tcW w:w="3969"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完成专业检测项目不少于100项，</w:t>
            </w:r>
            <w:r>
              <w:rPr>
                <w:rFonts w:ascii="仿宋" w:hAnsi="仿宋" w:eastAsia="仿宋"/>
                <w:color w:val="000000" w:themeColor="text1"/>
                <w:sz w:val="24"/>
                <w:szCs w:val="24"/>
                <w:lang w:val="en-US"/>
                <w14:textFill>
                  <w14:solidFill>
                    <w14:schemeClr w14:val="tx1"/>
                  </w14:solidFill>
                </w14:textFill>
              </w:rPr>
              <w:t>完成专业检验报告</w:t>
            </w:r>
            <w:r>
              <w:rPr>
                <w:rFonts w:hint="eastAsia" w:ascii="仿宋" w:hAnsi="仿宋" w:eastAsia="仿宋"/>
                <w:color w:val="000000" w:themeColor="text1"/>
                <w:sz w:val="24"/>
                <w:szCs w:val="24"/>
                <w:lang w:val="en-US"/>
                <w14:textFill>
                  <w14:solidFill>
                    <w14:schemeClr w14:val="tx1"/>
                  </w14:solidFill>
                </w14:textFill>
              </w:rPr>
              <w:t>/技术报告/检测记录不少于50份</w:t>
            </w:r>
          </w:p>
        </w:tc>
        <w:tc>
          <w:tcPr>
            <w:tcW w:w="4253"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完成专业检测项目不少于100项，</w:t>
            </w:r>
            <w:r>
              <w:rPr>
                <w:rFonts w:ascii="仿宋" w:hAnsi="仿宋" w:eastAsia="仿宋"/>
                <w:color w:val="000000" w:themeColor="text1"/>
                <w:sz w:val="24"/>
                <w:szCs w:val="24"/>
                <w:lang w:val="en-US"/>
                <w14:textFill>
                  <w14:solidFill>
                    <w14:schemeClr w14:val="tx1"/>
                  </w14:solidFill>
                </w14:textFill>
              </w:rPr>
              <w:t>完成专业检验报告</w:t>
            </w:r>
            <w:r>
              <w:rPr>
                <w:rFonts w:hint="eastAsia" w:ascii="仿宋" w:hAnsi="仿宋" w:eastAsia="仿宋"/>
                <w:color w:val="000000" w:themeColor="text1"/>
                <w:sz w:val="24"/>
                <w:szCs w:val="24"/>
                <w:lang w:val="en-US"/>
                <w14:textFill>
                  <w14:solidFill>
                    <w14:schemeClr w14:val="tx1"/>
                  </w14:solidFill>
                </w14:textFill>
              </w:rPr>
              <w:t>/技术报告/检测记录不少于50份</w:t>
            </w:r>
          </w:p>
        </w:tc>
        <w:tc>
          <w:tcPr>
            <w:tcW w:w="2551"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微生物检验技术</w:t>
            </w:r>
            <w:r>
              <w:rPr>
                <w:rFonts w:hint="eastAsia" w:ascii="仿宋" w:hAnsi="仿宋" w:eastAsia="仿宋"/>
                <w:color w:val="000000" w:themeColor="text1"/>
                <w:sz w:val="24"/>
                <w:szCs w:val="24"/>
                <w:lang w:val="en-US"/>
                <w14:textFill>
                  <w14:solidFill>
                    <w14:schemeClr w14:val="tx1"/>
                  </w14:solidFill>
                </w14:textFill>
              </w:rPr>
              <w:t>、</w:t>
            </w:r>
            <w:r>
              <w:rPr>
                <w:rFonts w:ascii="仿宋" w:hAnsi="仿宋" w:eastAsia="仿宋"/>
                <w:color w:val="000000" w:themeColor="text1"/>
                <w:sz w:val="24"/>
                <w:szCs w:val="24"/>
                <w:lang w:val="en-US"/>
                <w14:textFill>
                  <w14:solidFill>
                    <w14:schemeClr w14:val="tx1"/>
                  </w14:solidFill>
                </w14:textFill>
              </w:rPr>
              <w:t>理化检验技术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签发检查报告份数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不少于7500份</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不少于5000份</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配血次数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次</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不少于5000次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不少于3000次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输血技术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技术操作次数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次</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不少于7500次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不少于5000次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核医学技术</w:t>
            </w:r>
            <w:r>
              <w:rPr>
                <w:rFonts w:hint="eastAsia" w:ascii="仿宋" w:hAnsi="仿宋" w:eastAsia="仿宋" w:cs="LinTimes"/>
                <w:color w:val="000000" w:themeColor="text1"/>
                <w:kern w:val="0"/>
                <w:sz w:val="24"/>
                <w:szCs w:val="24"/>
                <w:lang w:bidi="ar"/>
                <w14:textFill>
                  <w14:solidFill>
                    <w14:schemeClr w14:val="tx1"/>
                  </w14:solidFill>
                </w14:textFill>
              </w:rPr>
              <w:t>、、肿瘤放射治疗技术、</w:t>
            </w:r>
            <w:r>
              <w:rPr>
                <w:rFonts w:ascii="仿宋" w:hAnsi="仿宋" w:eastAsia="仿宋" w:cs="LinTimes"/>
                <w:color w:val="000000" w:themeColor="text1"/>
                <w:kern w:val="0"/>
                <w:sz w:val="24"/>
                <w:szCs w:val="24"/>
                <w:lang w:bidi="ar"/>
                <w14:textFill>
                  <w14:solidFill>
                    <w14:schemeClr w14:val="tx1"/>
                  </w14:solidFill>
                </w14:textFill>
              </w:rPr>
              <w:t>神经电生理</w:t>
            </w:r>
            <w:r>
              <w:rPr>
                <w:rFonts w:hint="eastAsia" w:ascii="仿宋" w:hAnsi="仿宋" w:eastAsia="仿宋" w:cs="LinTimes"/>
                <w:color w:val="000000" w:themeColor="text1"/>
                <w:kern w:val="0"/>
                <w:sz w:val="24"/>
                <w:szCs w:val="24"/>
                <w:lang w:bidi="ar"/>
                <w14:textFill>
                  <w14:solidFill>
                    <w14:schemeClr w14:val="tx1"/>
                  </w14:solidFill>
                </w14:textFill>
              </w:rPr>
              <w:t>（脑电图）技术、口腔医学技术、消毒技术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检查次数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不少于10</w:t>
            </w:r>
            <w:r>
              <w:rPr>
                <w:rFonts w:ascii="仿宋" w:hAnsi="仿宋" w:eastAsia="仿宋" w:cs="LinTimes"/>
                <w:color w:val="000000" w:themeColor="text1"/>
                <w:kern w:val="0"/>
                <w:sz w:val="24"/>
                <w:szCs w:val="24"/>
                <w:lang w:bidi="ar"/>
                <w14:textFill>
                  <w14:solidFill>
                    <w14:schemeClr w14:val="tx1"/>
                  </w14:solidFill>
                </w14:textFill>
              </w:rPr>
              <w:t>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不少于10</w:t>
            </w:r>
            <w:r>
              <w:rPr>
                <w:rFonts w:ascii="仿宋" w:hAnsi="仿宋" w:eastAsia="仿宋" w:cs="LinTimes"/>
                <w:color w:val="000000" w:themeColor="text1"/>
                <w:kern w:val="0"/>
                <w:sz w:val="24"/>
                <w:szCs w:val="24"/>
                <w:lang w:bidi="ar"/>
                <w14:textFill>
                  <w14:solidFill>
                    <w14:schemeClr w14:val="tx1"/>
                  </w14:solidFill>
                </w14:textFill>
              </w:rPr>
              <w:t>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放射医学技术、超声医学技术</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心电图技术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病理制片数量</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不少于25000次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不少于17500次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病理学技术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参与治疗人次</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人次</w:t>
            </w:r>
          </w:p>
        </w:tc>
        <w:tc>
          <w:tcPr>
            <w:tcW w:w="3969" w:type="dxa"/>
            <w:vAlign w:val="center"/>
          </w:tcPr>
          <w:p>
            <w:pPr>
              <w:pStyle w:val="13"/>
              <w:tabs>
                <w:tab w:val="left" w:pos="4180"/>
              </w:tabs>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不少于5000人</w:t>
            </w:r>
          </w:p>
        </w:tc>
        <w:tc>
          <w:tcPr>
            <w:tcW w:w="4253" w:type="dxa"/>
            <w:vAlign w:val="center"/>
          </w:tcPr>
          <w:p>
            <w:pPr>
              <w:pStyle w:val="13"/>
              <w:tabs>
                <w:tab w:val="left" w:pos="4180"/>
              </w:tabs>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不少于3000人次</w:t>
            </w:r>
          </w:p>
        </w:tc>
        <w:tc>
          <w:tcPr>
            <w:tcW w:w="2551"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康复医学技术</w:t>
            </w:r>
          </w:p>
        </w:tc>
      </w:tr>
    </w:tbl>
    <w:p>
      <w:pPr>
        <w:pStyle w:val="5"/>
        <w:shd w:val="clear" w:color="auto" w:fill="FFFFFF"/>
        <w:spacing w:before="0" w:beforeAutospacing="0" w:after="0" w:afterAutospacing="0"/>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：工作量是指中级晋升副高期间或副高晋升正高期间完成的工作量，从聘任时间开始计算。</w:t>
      </w:r>
    </w:p>
    <w:p>
      <w:pPr>
        <w:tabs>
          <w:tab w:val="left" w:pos="795"/>
        </w:tabs>
        <w:spacing w:before="12"/>
        <w:rPr>
          <w:rFonts w:ascii="楷体" w:hAnsi="楷体" w:eastAsia="楷体"/>
          <w:color w:val="000000" w:themeColor="text1"/>
          <w:sz w:val="24"/>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LinTimes">
    <w:altName w:val="Times New Roman"/>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1659264" behindDoc="1" locked="0" layoutInCell="1" allowOverlap="1">
              <wp:simplePos x="0" y="0"/>
              <wp:positionH relativeFrom="page">
                <wp:posOffset>5022215</wp:posOffset>
              </wp:positionH>
              <wp:positionV relativeFrom="page">
                <wp:posOffset>6791960</wp:posOffset>
              </wp:positionV>
              <wp:extent cx="647700" cy="224790"/>
              <wp:effectExtent l="2540" t="635" r="0" b="31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700" cy="22479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95.45pt;margin-top:534.8pt;height:17.7pt;width:51pt;mso-position-horizontal-relative:page;mso-position-vertical-relative:page;z-index:-251657216;mso-width-relative:page;mso-height-relative:page;" filled="f" stroked="f" coordsize="21600,21600" o:gfxdata="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rgfvZAAAADQEAAA8AAAAAAAAAAQAgAAAAIgAAAGRycy9kb3ducmV2LnhtbFBLAQIU&#10;ABQAAAAIAIdO4kAlQxd28gEAALYDAAAOAAAAAAAAAAEAIAAAACgBAABkcnMvZTJvRG9jLnhtbFBL&#10;BQYAAAAABgAGAFkBAACMBQAAAAA=&#10;">
              <v:fill on="f" focussize="0,0"/>
              <v:stroke on="f"/>
              <v:imagedata o:title=""/>
              <o:lock v:ext="edit" aspectratio="f"/>
              <v:textbox inset="0mm,0mm,0mm,0mm">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08"/>
    <w:rsid w:val="00016768"/>
    <w:rsid w:val="0002185B"/>
    <w:rsid w:val="00030DC7"/>
    <w:rsid w:val="00034DFE"/>
    <w:rsid w:val="00036797"/>
    <w:rsid w:val="00053921"/>
    <w:rsid w:val="000547F1"/>
    <w:rsid w:val="00082165"/>
    <w:rsid w:val="000B6926"/>
    <w:rsid w:val="000C5FAB"/>
    <w:rsid w:val="000C7A4C"/>
    <w:rsid w:val="000D1CD4"/>
    <w:rsid w:val="000D28B0"/>
    <w:rsid w:val="000D35CF"/>
    <w:rsid w:val="000D4A40"/>
    <w:rsid w:val="000E7CED"/>
    <w:rsid w:val="001141A9"/>
    <w:rsid w:val="00115C0C"/>
    <w:rsid w:val="0012006F"/>
    <w:rsid w:val="00131008"/>
    <w:rsid w:val="00143166"/>
    <w:rsid w:val="00162B0E"/>
    <w:rsid w:val="001637F5"/>
    <w:rsid w:val="0018220D"/>
    <w:rsid w:val="001B69A2"/>
    <w:rsid w:val="001C528F"/>
    <w:rsid w:val="001C663D"/>
    <w:rsid w:val="001E33D2"/>
    <w:rsid w:val="001F7B9F"/>
    <w:rsid w:val="002130EA"/>
    <w:rsid w:val="00227501"/>
    <w:rsid w:val="00246590"/>
    <w:rsid w:val="00274CA3"/>
    <w:rsid w:val="00295AF8"/>
    <w:rsid w:val="002B69D9"/>
    <w:rsid w:val="002E0BD2"/>
    <w:rsid w:val="002E680A"/>
    <w:rsid w:val="002F5F9E"/>
    <w:rsid w:val="0030106A"/>
    <w:rsid w:val="00301581"/>
    <w:rsid w:val="00303AEF"/>
    <w:rsid w:val="00332388"/>
    <w:rsid w:val="0033284F"/>
    <w:rsid w:val="00346297"/>
    <w:rsid w:val="00360F4C"/>
    <w:rsid w:val="003B2222"/>
    <w:rsid w:val="003C4234"/>
    <w:rsid w:val="003D2079"/>
    <w:rsid w:val="003E12F2"/>
    <w:rsid w:val="003E3A2B"/>
    <w:rsid w:val="003F7E7D"/>
    <w:rsid w:val="00400DBA"/>
    <w:rsid w:val="00434093"/>
    <w:rsid w:val="00450C2E"/>
    <w:rsid w:val="0045321B"/>
    <w:rsid w:val="00461C27"/>
    <w:rsid w:val="004F3988"/>
    <w:rsid w:val="005178B0"/>
    <w:rsid w:val="00544875"/>
    <w:rsid w:val="00561C91"/>
    <w:rsid w:val="00564172"/>
    <w:rsid w:val="00585E06"/>
    <w:rsid w:val="00587EE3"/>
    <w:rsid w:val="00590B60"/>
    <w:rsid w:val="00592BEC"/>
    <w:rsid w:val="0059328B"/>
    <w:rsid w:val="005A3164"/>
    <w:rsid w:val="005B75CC"/>
    <w:rsid w:val="005E01BB"/>
    <w:rsid w:val="00611905"/>
    <w:rsid w:val="0063381C"/>
    <w:rsid w:val="006643AF"/>
    <w:rsid w:val="00670173"/>
    <w:rsid w:val="00671B92"/>
    <w:rsid w:val="00695493"/>
    <w:rsid w:val="00695CAC"/>
    <w:rsid w:val="00697F5A"/>
    <w:rsid w:val="006A6F6E"/>
    <w:rsid w:val="006B187A"/>
    <w:rsid w:val="006B1CB4"/>
    <w:rsid w:val="006E472F"/>
    <w:rsid w:val="006E742B"/>
    <w:rsid w:val="006F2793"/>
    <w:rsid w:val="006F6754"/>
    <w:rsid w:val="007143D4"/>
    <w:rsid w:val="00722E7E"/>
    <w:rsid w:val="00727038"/>
    <w:rsid w:val="00730FB4"/>
    <w:rsid w:val="00746661"/>
    <w:rsid w:val="00771FFC"/>
    <w:rsid w:val="00772EFD"/>
    <w:rsid w:val="00776CA7"/>
    <w:rsid w:val="00791E83"/>
    <w:rsid w:val="00792D8F"/>
    <w:rsid w:val="00797280"/>
    <w:rsid w:val="00797FD2"/>
    <w:rsid w:val="007A1135"/>
    <w:rsid w:val="007A2EF6"/>
    <w:rsid w:val="007B03EC"/>
    <w:rsid w:val="007B23F4"/>
    <w:rsid w:val="007C020D"/>
    <w:rsid w:val="007F1831"/>
    <w:rsid w:val="00800D4C"/>
    <w:rsid w:val="00835953"/>
    <w:rsid w:val="0084101B"/>
    <w:rsid w:val="00854A88"/>
    <w:rsid w:val="00863CCE"/>
    <w:rsid w:val="0088736A"/>
    <w:rsid w:val="008C52D7"/>
    <w:rsid w:val="00903348"/>
    <w:rsid w:val="009048FC"/>
    <w:rsid w:val="00923C22"/>
    <w:rsid w:val="009366E0"/>
    <w:rsid w:val="00962A87"/>
    <w:rsid w:val="00970B25"/>
    <w:rsid w:val="00986DE2"/>
    <w:rsid w:val="00997A91"/>
    <w:rsid w:val="009B1542"/>
    <w:rsid w:val="009B5F2D"/>
    <w:rsid w:val="009D0208"/>
    <w:rsid w:val="009D09D5"/>
    <w:rsid w:val="009D27B1"/>
    <w:rsid w:val="009E648B"/>
    <w:rsid w:val="009F5D2E"/>
    <w:rsid w:val="00A14BC1"/>
    <w:rsid w:val="00A178B7"/>
    <w:rsid w:val="00A3635F"/>
    <w:rsid w:val="00A4576C"/>
    <w:rsid w:val="00A51DB4"/>
    <w:rsid w:val="00A570CF"/>
    <w:rsid w:val="00A6324B"/>
    <w:rsid w:val="00A75F48"/>
    <w:rsid w:val="00A768B6"/>
    <w:rsid w:val="00A87A9E"/>
    <w:rsid w:val="00AB5DEF"/>
    <w:rsid w:val="00AC66C2"/>
    <w:rsid w:val="00AD537C"/>
    <w:rsid w:val="00AD74FC"/>
    <w:rsid w:val="00B03BE9"/>
    <w:rsid w:val="00B04141"/>
    <w:rsid w:val="00B1743E"/>
    <w:rsid w:val="00B361BD"/>
    <w:rsid w:val="00B3711B"/>
    <w:rsid w:val="00B56835"/>
    <w:rsid w:val="00B578B3"/>
    <w:rsid w:val="00B57A0F"/>
    <w:rsid w:val="00B60D76"/>
    <w:rsid w:val="00B6525A"/>
    <w:rsid w:val="00B914E8"/>
    <w:rsid w:val="00BA3C27"/>
    <w:rsid w:val="00BA4F51"/>
    <w:rsid w:val="00BA6364"/>
    <w:rsid w:val="00BB3182"/>
    <w:rsid w:val="00BC2DA9"/>
    <w:rsid w:val="00BD0960"/>
    <w:rsid w:val="00BD7307"/>
    <w:rsid w:val="00BF2775"/>
    <w:rsid w:val="00C20CAB"/>
    <w:rsid w:val="00C36D6A"/>
    <w:rsid w:val="00C4268C"/>
    <w:rsid w:val="00C5343E"/>
    <w:rsid w:val="00C65143"/>
    <w:rsid w:val="00C739DA"/>
    <w:rsid w:val="00C90169"/>
    <w:rsid w:val="00C90E1C"/>
    <w:rsid w:val="00C911D5"/>
    <w:rsid w:val="00CA0AF3"/>
    <w:rsid w:val="00CA3E2E"/>
    <w:rsid w:val="00CB47AC"/>
    <w:rsid w:val="00CC0A3A"/>
    <w:rsid w:val="00CC30B6"/>
    <w:rsid w:val="00CC74AB"/>
    <w:rsid w:val="00CF034D"/>
    <w:rsid w:val="00CF1820"/>
    <w:rsid w:val="00CF72AD"/>
    <w:rsid w:val="00D01154"/>
    <w:rsid w:val="00D01FEF"/>
    <w:rsid w:val="00D158BE"/>
    <w:rsid w:val="00D20FDB"/>
    <w:rsid w:val="00D25CE3"/>
    <w:rsid w:val="00D40C2A"/>
    <w:rsid w:val="00D556C4"/>
    <w:rsid w:val="00D634E6"/>
    <w:rsid w:val="00D73F2D"/>
    <w:rsid w:val="00D80D22"/>
    <w:rsid w:val="00D87D4F"/>
    <w:rsid w:val="00DB706D"/>
    <w:rsid w:val="00DC55E8"/>
    <w:rsid w:val="00DD0F2C"/>
    <w:rsid w:val="00DD3F3C"/>
    <w:rsid w:val="00DD7A57"/>
    <w:rsid w:val="00DE0B45"/>
    <w:rsid w:val="00DE20E4"/>
    <w:rsid w:val="00DF0385"/>
    <w:rsid w:val="00DF194A"/>
    <w:rsid w:val="00E240B1"/>
    <w:rsid w:val="00E33B2B"/>
    <w:rsid w:val="00E370F2"/>
    <w:rsid w:val="00E57305"/>
    <w:rsid w:val="00E6517C"/>
    <w:rsid w:val="00E946FE"/>
    <w:rsid w:val="00EA0AD2"/>
    <w:rsid w:val="00EA2BCD"/>
    <w:rsid w:val="00EF2DB7"/>
    <w:rsid w:val="00F14351"/>
    <w:rsid w:val="00F16979"/>
    <w:rsid w:val="00F74761"/>
    <w:rsid w:val="00F8092E"/>
    <w:rsid w:val="00F8519D"/>
    <w:rsid w:val="00FD0987"/>
    <w:rsid w:val="00FE10DE"/>
    <w:rsid w:val="00FF26A0"/>
    <w:rsid w:val="17690438"/>
    <w:rsid w:val="1F277B38"/>
    <w:rsid w:val="4DF7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99"/>
    <w:rPr>
      <w:rFonts w:ascii="Calibri" w:hAnsi="Calibri"/>
      <w:kern w:val="2"/>
      <w:sz w:val="18"/>
      <w:szCs w:val="18"/>
    </w:rPr>
  </w:style>
  <w:style w:type="character" w:customStyle="1" w:styleId="10">
    <w:name w:val="页脚 Char"/>
    <w:basedOn w:val="6"/>
    <w:link w:val="3"/>
    <w:uiPriority w:val="99"/>
    <w:rPr>
      <w:rFonts w:ascii="Calibri" w:hAnsi="Calibri"/>
      <w:kern w:val="2"/>
      <w:sz w:val="18"/>
      <w:szCs w:val="18"/>
    </w:rPr>
  </w:style>
  <w:style w:type="character" w:customStyle="1" w:styleId="11">
    <w:name w:val="font41"/>
    <w:qFormat/>
    <w:uiPriority w:val="0"/>
    <w:rPr>
      <w:rFonts w:hint="eastAsia" w:ascii="仿宋_GB2312" w:eastAsia="仿宋_GB2312" w:cs="仿宋_GB2312"/>
      <w:color w:val="000000"/>
      <w:sz w:val="28"/>
      <w:szCs w:val="28"/>
      <w:u w:val="none"/>
    </w:rPr>
  </w:style>
  <w:style w:type="paragraph" w:customStyle="1" w:styleId="12">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3">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14">
    <w:name w:val="正文文本 Char"/>
    <w:basedOn w:val="6"/>
    <w:link w:val="2"/>
    <w:qFormat/>
    <w:uiPriority w:val="99"/>
    <w:rPr>
      <w:rFonts w:asciiTheme="minorHAnsi" w:hAnsiTheme="minorHAnsi" w:eastAsiaTheme="minorEastAsia" w:cstheme="minorBidi"/>
      <w:kern w:val="2"/>
      <w:sz w:val="21"/>
      <w:szCs w:val="22"/>
    </w:rPr>
  </w:style>
  <w:style w:type="paragraph" w:styleId="15">
    <w:name w:val="List Paragraph"/>
    <w:basedOn w:val="1"/>
    <w:qFormat/>
    <w:uiPriority w:val="1"/>
    <w:pPr>
      <w:autoSpaceDE w:val="0"/>
      <w:autoSpaceDN w:val="0"/>
      <w:ind w:left="111" w:firstLine="64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3440</Words>
  <Characters>19609</Characters>
  <Lines>163</Lines>
  <Paragraphs>46</Paragraphs>
  <TotalTime>0</TotalTime>
  <ScaleCrop>false</ScaleCrop>
  <LinksUpToDate>false</LinksUpToDate>
  <CharactersWithSpaces>23003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2022-01-28T01:53:00Z</dcterms:created>
  <dc:creator>程媛</dc:creator>
  <cp:lastModifiedBy>pc</cp:lastModifiedBy>
  <dcterms:modified xsi:type="dcterms:W3CDTF">2022-02-22T04:36:08Z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334EF22668F742649A0692508387EE1E</vt:lpwstr>
  </property>
</Properties>
</file>